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黑体" w:eastAsia="方正小标宋简体"/>
          <w:b/>
          <w:sz w:val="32"/>
          <w:szCs w:val="32"/>
        </w:rPr>
      </w:pPr>
      <w:r>
        <w:rPr>
          <w:rFonts w:hint="eastAsia" w:ascii="方正小标宋简体" w:hAnsi="黑体" w:eastAsia="方正小标宋简体"/>
          <w:b/>
          <w:sz w:val="32"/>
          <w:szCs w:val="32"/>
        </w:rPr>
        <w:t>贵州大学电气工程学院</w:t>
      </w:r>
      <w:r>
        <w:rPr>
          <w:rFonts w:ascii="方正小标宋简体" w:hAnsi="黑体" w:eastAsia="方正小标宋简体"/>
          <w:b/>
          <w:sz w:val="32"/>
          <w:szCs w:val="32"/>
        </w:rPr>
        <w:t>202</w:t>
      </w:r>
      <w:r>
        <w:rPr>
          <w:rFonts w:hint="eastAsia" w:ascii="方正小标宋简体" w:hAnsi="黑体" w:eastAsia="方正小标宋简体"/>
          <w:b/>
          <w:sz w:val="32"/>
          <w:szCs w:val="32"/>
          <w:lang w:val="en-US" w:eastAsia="zh-CN"/>
        </w:rPr>
        <w:t>3</w:t>
      </w:r>
      <w:r>
        <w:rPr>
          <w:rFonts w:ascii="方正小标宋简体" w:hAnsi="黑体" w:eastAsia="方正小标宋简体"/>
          <w:b/>
          <w:sz w:val="32"/>
          <w:szCs w:val="32"/>
        </w:rPr>
        <w:t>年</w:t>
      </w:r>
      <w:r>
        <w:rPr>
          <w:rFonts w:hint="eastAsia" w:ascii="方正小标宋简体" w:hAnsi="黑体" w:eastAsia="方正小标宋简体"/>
          <w:b/>
          <w:sz w:val="32"/>
          <w:szCs w:val="32"/>
        </w:rPr>
        <w:t>硕博连读研究生</w:t>
      </w:r>
    </w:p>
    <w:p>
      <w:pPr>
        <w:spacing w:line="600" w:lineRule="exact"/>
        <w:jc w:val="center"/>
        <w:rPr>
          <w:sz w:val="32"/>
          <w:szCs w:val="32"/>
        </w:rPr>
      </w:pPr>
      <w:r>
        <w:rPr>
          <w:rFonts w:hint="eastAsia" w:ascii="方正小标宋简体" w:hAnsi="黑体" w:eastAsia="方正小标宋简体"/>
          <w:b/>
          <w:sz w:val="32"/>
          <w:szCs w:val="32"/>
        </w:rPr>
        <w:t>选拔工作实施细则</w:t>
      </w:r>
    </w:p>
    <w:p>
      <w:pPr>
        <w:spacing w:line="360" w:lineRule="auto"/>
        <w:ind w:firstLine="480" w:firstLineChars="200"/>
        <w:jc w:val="left"/>
        <w:rPr>
          <w:sz w:val="24"/>
        </w:rPr>
      </w:pPr>
      <w:r>
        <w:rPr>
          <w:rFonts w:hint="eastAsia"/>
          <w:sz w:val="24"/>
        </w:rPr>
        <w:t>根据《贵州大学选拔硕博连读研究生实施办法（试行）》（贵大发[2014]1</w:t>
      </w:r>
      <w:r>
        <w:rPr>
          <w:sz w:val="24"/>
        </w:rPr>
        <w:t>02</w:t>
      </w:r>
      <w:r>
        <w:rPr>
          <w:rFonts w:hint="eastAsia"/>
          <w:sz w:val="24"/>
        </w:rPr>
        <w:t>号），贵州大学研究生院发《</w:t>
      </w:r>
      <w:r>
        <w:rPr>
          <w:rFonts w:hint="eastAsia"/>
          <w:sz w:val="24"/>
          <w:lang w:val="en-US" w:eastAsia="zh-CN"/>
        </w:rPr>
        <w:t>关于选拔贵州大学2023年硕博连读研究生的通知</w:t>
      </w:r>
      <w:r>
        <w:rPr>
          <w:rFonts w:hint="eastAsia"/>
          <w:sz w:val="24"/>
        </w:rPr>
        <w:t>》（贵大研 [202</w:t>
      </w:r>
      <w:r>
        <w:rPr>
          <w:rFonts w:hint="eastAsia"/>
          <w:sz w:val="24"/>
          <w:lang w:val="en-US" w:eastAsia="zh-CN"/>
        </w:rPr>
        <w:t>2</w:t>
      </w:r>
      <w:r>
        <w:rPr>
          <w:rFonts w:hint="eastAsia"/>
          <w:sz w:val="24"/>
        </w:rPr>
        <w:t>]</w:t>
      </w:r>
      <w:r>
        <w:rPr>
          <w:rFonts w:hint="eastAsia"/>
          <w:sz w:val="24"/>
          <w:lang w:val="en-US" w:eastAsia="zh-CN"/>
        </w:rPr>
        <w:t>2</w:t>
      </w:r>
      <w:r>
        <w:rPr>
          <w:rFonts w:hint="eastAsia"/>
          <w:sz w:val="24"/>
        </w:rPr>
        <w:t>8号）文件规定，为做好电气工程学院20</w:t>
      </w:r>
      <w:r>
        <w:rPr>
          <w:sz w:val="24"/>
        </w:rPr>
        <w:t>2</w:t>
      </w:r>
      <w:r>
        <w:rPr>
          <w:rFonts w:hint="eastAsia"/>
          <w:sz w:val="24"/>
          <w:lang w:val="en-US" w:eastAsia="zh-CN"/>
        </w:rPr>
        <w:t>3</w:t>
      </w:r>
      <w:r>
        <w:rPr>
          <w:rFonts w:hint="eastAsia"/>
          <w:sz w:val="24"/>
        </w:rPr>
        <w:t>年硕博连读研究生选拔工作，学院依照实际情况制定如下细则：</w:t>
      </w:r>
    </w:p>
    <w:p>
      <w:pPr>
        <w:spacing w:line="360" w:lineRule="auto"/>
        <w:ind w:firstLine="361" w:firstLineChars="150"/>
        <w:jc w:val="left"/>
        <w:rPr>
          <w:sz w:val="24"/>
        </w:rPr>
      </w:pPr>
      <w:r>
        <w:rPr>
          <w:rFonts w:hint="eastAsia"/>
          <w:b/>
          <w:sz w:val="24"/>
        </w:rPr>
        <w:t>一、指导思想：</w:t>
      </w:r>
      <w:r>
        <w:rPr>
          <w:rFonts w:hint="eastAsia"/>
          <w:sz w:val="24"/>
        </w:rPr>
        <w:t>坚持公平、公正、公开和科学选拔的原则，德、智、体全面考察，择优选拔，按需招生，宁缺毋滥，确保招生质量。</w:t>
      </w:r>
    </w:p>
    <w:p>
      <w:pPr>
        <w:numPr>
          <w:ilvl w:val="255"/>
          <w:numId w:val="0"/>
        </w:numPr>
        <w:autoSpaceDE w:val="0"/>
        <w:autoSpaceDN w:val="0"/>
        <w:adjustRightInd w:val="0"/>
        <w:snapToGrid w:val="0"/>
        <w:spacing w:line="360" w:lineRule="auto"/>
        <w:ind w:left="315" w:leftChars="150"/>
        <w:rPr>
          <w:b/>
          <w:sz w:val="24"/>
        </w:rPr>
      </w:pPr>
      <w:r>
        <w:rPr>
          <w:rFonts w:hint="eastAsia"/>
          <w:b/>
          <w:sz w:val="24"/>
        </w:rPr>
        <w:t>二、组织机构及工作职责</w:t>
      </w:r>
    </w:p>
    <w:p>
      <w:pPr>
        <w:snapToGrid w:val="0"/>
        <w:spacing w:line="360" w:lineRule="auto"/>
        <w:ind w:firstLine="480" w:firstLineChars="200"/>
        <w:rPr>
          <w:sz w:val="24"/>
        </w:rPr>
      </w:pPr>
      <w:r>
        <w:rPr>
          <w:rFonts w:hint="eastAsia"/>
          <w:sz w:val="24"/>
        </w:rPr>
        <w:t>（一）电气工程学院选拔研究生</w:t>
      </w:r>
      <w:r>
        <w:rPr>
          <w:sz w:val="24"/>
        </w:rPr>
        <w:t>硕博连读</w:t>
      </w:r>
      <w:r>
        <w:rPr>
          <w:rFonts w:hint="eastAsia"/>
          <w:sz w:val="24"/>
        </w:rPr>
        <w:t>工作</w:t>
      </w:r>
      <w:r>
        <w:rPr>
          <w:rFonts w:hint="eastAsia"/>
          <w:sz w:val="24"/>
          <w:lang w:val="en-US" w:eastAsia="zh-CN"/>
        </w:rPr>
        <w:t>领</w:t>
      </w:r>
      <w:r>
        <w:rPr>
          <w:rFonts w:hint="eastAsia"/>
          <w:sz w:val="24"/>
        </w:rPr>
        <w:t>导小组</w:t>
      </w:r>
    </w:p>
    <w:p>
      <w:pPr>
        <w:snapToGrid w:val="0"/>
        <w:spacing w:line="360" w:lineRule="auto"/>
        <w:ind w:firstLine="480" w:firstLineChars="200"/>
        <w:rPr>
          <w:rFonts w:hint="eastAsia"/>
          <w:sz w:val="24"/>
        </w:rPr>
      </w:pPr>
      <w:r>
        <w:rPr>
          <w:rFonts w:hint="eastAsia"/>
          <w:sz w:val="24"/>
        </w:rPr>
        <w:t>成立电气工程学院选拔研究生</w:t>
      </w:r>
      <w:r>
        <w:rPr>
          <w:sz w:val="24"/>
        </w:rPr>
        <w:t>硕博连读</w:t>
      </w:r>
      <w:r>
        <w:rPr>
          <w:rFonts w:hint="eastAsia"/>
          <w:sz w:val="24"/>
        </w:rPr>
        <w:t>工作</w:t>
      </w:r>
      <w:r>
        <w:rPr>
          <w:rFonts w:hint="eastAsia"/>
          <w:sz w:val="24"/>
          <w:lang w:val="en-US" w:eastAsia="zh-CN"/>
        </w:rPr>
        <w:t>领</w:t>
      </w:r>
      <w:r>
        <w:rPr>
          <w:rFonts w:hint="eastAsia"/>
          <w:sz w:val="24"/>
        </w:rPr>
        <w:t>导小组(以下简称</w:t>
      </w:r>
      <w:r>
        <w:rPr>
          <w:rFonts w:hint="eastAsia"/>
          <w:sz w:val="24"/>
          <w:lang w:val="en-US" w:eastAsia="zh-CN"/>
        </w:rPr>
        <w:t>领导</w:t>
      </w:r>
      <w:r>
        <w:rPr>
          <w:rFonts w:hint="eastAsia"/>
          <w:sz w:val="24"/>
        </w:rPr>
        <w:t>小组)，负责指导、组织、实施选拔研究生</w:t>
      </w:r>
      <w:r>
        <w:rPr>
          <w:sz w:val="24"/>
        </w:rPr>
        <w:t>硕博连读</w:t>
      </w:r>
      <w:r>
        <w:rPr>
          <w:rFonts w:hint="eastAsia"/>
          <w:sz w:val="24"/>
        </w:rPr>
        <w:t>工作。</w:t>
      </w:r>
    </w:p>
    <w:p>
      <w:pPr>
        <w:snapToGrid w:val="0"/>
        <w:spacing w:line="360" w:lineRule="auto"/>
        <w:ind w:firstLine="480" w:firstLineChars="200"/>
        <w:rPr>
          <w:sz w:val="24"/>
        </w:rPr>
      </w:pPr>
      <w:r>
        <w:rPr>
          <w:rFonts w:hint="eastAsia"/>
          <w:sz w:val="24"/>
          <w:lang w:val="en-US" w:eastAsia="zh-CN"/>
        </w:rPr>
        <w:t>领</w:t>
      </w:r>
      <w:r>
        <w:rPr>
          <w:rFonts w:hint="eastAsia"/>
          <w:sz w:val="24"/>
        </w:rPr>
        <w:t>导小组工作职责：</w:t>
      </w:r>
    </w:p>
    <w:p>
      <w:pPr>
        <w:snapToGrid w:val="0"/>
        <w:spacing w:line="360" w:lineRule="auto"/>
        <w:ind w:firstLine="480" w:firstLineChars="200"/>
        <w:rPr>
          <w:b/>
          <w:sz w:val="24"/>
        </w:rPr>
      </w:pPr>
      <w:r>
        <w:rPr>
          <w:rFonts w:hint="eastAsia"/>
          <w:sz w:val="24"/>
        </w:rPr>
        <w:t>1、根据学校研究生招生领导小组</w:t>
      </w:r>
      <w:r>
        <w:rPr>
          <w:sz w:val="24"/>
        </w:rPr>
        <w:t>制定</w:t>
      </w:r>
      <w:r>
        <w:rPr>
          <w:rFonts w:hint="eastAsia"/>
          <w:sz w:val="24"/>
        </w:rPr>
        <w:t>的选拔规定，制定《贵州大学电气工程学院20</w:t>
      </w:r>
      <w:r>
        <w:rPr>
          <w:sz w:val="24"/>
        </w:rPr>
        <w:t>2</w:t>
      </w:r>
      <w:r>
        <w:rPr>
          <w:rFonts w:hint="eastAsia"/>
          <w:sz w:val="24"/>
          <w:lang w:val="en-US" w:eastAsia="zh-CN"/>
        </w:rPr>
        <w:t>3</w:t>
      </w:r>
      <w:r>
        <w:rPr>
          <w:rFonts w:hint="eastAsia"/>
          <w:sz w:val="24"/>
        </w:rPr>
        <w:t>年</w:t>
      </w:r>
      <w:r>
        <w:rPr>
          <w:sz w:val="24"/>
        </w:rPr>
        <w:t>硕博连读</w:t>
      </w:r>
      <w:r>
        <w:rPr>
          <w:rFonts w:hint="eastAsia"/>
          <w:sz w:val="24"/>
        </w:rPr>
        <w:t>研究生选拔</w:t>
      </w:r>
      <w:r>
        <w:rPr>
          <w:sz w:val="24"/>
        </w:rPr>
        <w:t>工作</w:t>
      </w:r>
      <w:r>
        <w:rPr>
          <w:rFonts w:hint="eastAsia"/>
          <w:sz w:val="24"/>
        </w:rPr>
        <w:t>实施细则》</w:t>
      </w:r>
      <w:r>
        <w:rPr>
          <w:sz w:val="24"/>
        </w:rPr>
        <w:t>；</w:t>
      </w:r>
    </w:p>
    <w:p>
      <w:pPr>
        <w:snapToGrid w:val="0"/>
        <w:spacing w:line="360" w:lineRule="auto"/>
        <w:ind w:firstLine="480" w:firstLineChars="200"/>
        <w:rPr>
          <w:sz w:val="24"/>
        </w:rPr>
      </w:pPr>
      <w:r>
        <w:rPr>
          <w:rFonts w:hint="eastAsia"/>
          <w:sz w:val="24"/>
        </w:rPr>
        <w:t>2、</w:t>
      </w:r>
      <w:r>
        <w:rPr>
          <w:sz w:val="24"/>
        </w:rPr>
        <w:t>组织安排</w:t>
      </w:r>
      <w:r>
        <w:rPr>
          <w:rFonts w:hint="eastAsia"/>
          <w:sz w:val="24"/>
        </w:rPr>
        <w:t>选拔研究生</w:t>
      </w:r>
      <w:r>
        <w:rPr>
          <w:sz w:val="24"/>
        </w:rPr>
        <w:t>硕博连读工作</w:t>
      </w:r>
      <w:r>
        <w:rPr>
          <w:rFonts w:hint="eastAsia"/>
          <w:sz w:val="24"/>
        </w:rPr>
        <w:t>并组织选拔考试(面试)</w:t>
      </w:r>
      <w:r>
        <w:rPr>
          <w:sz w:val="24"/>
        </w:rPr>
        <w:t>；</w:t>
      </w:r>
    </w:p>
    <w:p>
      <w:pPr>
        <w:snapToGrid w:val="0"/>
        <w:spacing w:line="360" w:lineRule="auto"/>
        <w:ind w:firstLine="480" w:firstLineChars="200"/>
        <w:rPr>
          <w:sz w:val="24"/>
        </w:rPr>
      </w:pPr>
      <w:r>
        <w:rPr>
          <w:rFonts w:hint="eastAsia"/>
          <w:sz w:val="24"/>
        </w:rPr>
        <w:t>3、成立专家面试小组，确定专家面试小组成员名单，</w:t>
      </w:r>
      <w:r>
        <w:rPr>
          <w:sz w:val="24"/>
        </w:rPr>
        <w:t>监督指导</w:t>
      </w:r>
      <w:r>
        <w:rPr>
          <w:rFonts w:hint="eastAsia"/>
          <w:sz w:val="24"/>
        </w:rPr>
        <w:t>专家面试</w:t>
      </w:r>
      <w:r>
        <w:rPr>
          <w:sz w:val="24"/>
        </w:rPr>
        <w:t>小组工作；</w:t>
      </w:r>
    </w:p>
    <w:p>
      <w:pPr>
        <w:snapToGrid w:val="0"/>
        <w:spacing w:line="360" w:lineRule="auto"/>
        <w:ind w:firstLine="480" w:firstLineChars="200"/>
        <w:rPr>
          <w:sz w:val="24"/>
        </w:rPr>
      </w:pPr>
      <w:r>
        <w:rPr>
          <w:rFonts w:hint="eastAsia"/>
          <w:sz w:val="24"/>
        </w:rPr>
        <w:t>4、对专家面试小组成员及相关工作人员进行有关政策业务和纪律方面的培训</w:t>
      </w:r>
      <w:r>
        <w:rPr>
          <w:sz w:val="24"/>
        </w:rPr>
        <w:t>；</w:t>
      </w:r>
    </w:p>
    <w:p>
      <w:pPr>
        <w:snapToGrid w:val="0"/>
        <w:spacing w:line="360" w:lineRule="auto"/>
        <w:ind w:firstLine="480" w:firstLineChars="200"/>
        <w:rPr>
          <w:sz w:val="24"/>
        </w:rPr>
      </w:pPr>
      <w:r>
        <w:rPr>
          <w:rFonts w:hint="eastAsia"/>
          <w:sz w:val="24"/>
        </w:rPr>
        <w:t>5、负责确定考生面试的具体内容、评分标准和面试流程，并组织实施</w:t>
      </w:r>
      <w:r>
        <w:rPr>
          <w:sz w:val="24"/>
        </w:rPr>
        <w:t>；</w:t>
      </w:r>
    </w:p>
    <w:p>
      <w:pPr>
        <w:snapToGrid w:val="0"/>
        <w:spacing w:line="360" w:lineRule="auto"/>
        <w:ind w:firstLine="480" w:firstLineChars="200"/>
        <w:rPr>
          <w:sz w:val="24"/>
        </w:rPr>
      </w:pPr>
      <w:r>
        <w:rPr>
          <w:rFonts w:hint="eastAsia"/>
          <w:sz w:val="24"/>
        </w:rPr>
        <w:t>6、</w:t>
      </w:r>
      <w:r>
        <w:rPr>
          <w:sz w:val="24"/>
        </w:rPr>
        <w:t>负责审核专业</w:t>
      </w:r>
      <w:r>
        <w:rPr>
          <w:rFonts w:hint="eastAsia"/>
          <w:sz w:val="24"/>
        </w:rPr>
        <w:t>考试</w:t>
      </w:r>
      <w:r>
        <w:rPr>
          <w:sz w:val="24"/>
        </w:rPr>
        <w:t>小组的复试记录和复试结果；</w:t>
      </w:r>
    </w:p>
    <w:p>
      <w:pPr>
        <w:snapToGrid w:val="0"/>
        <w:spacing w:line="360" w:lineRule="auto"/>
        <w:ind w:firstLine="480" w:firstLineChars="200"/>
        <w:rPr>
          <w:sz w:val="24"/>
        </w:rPr>
      </w:pPr>
      <w:r>
        <w:rPr>
          <w:rFonts w:hint="eastAsia"/>
          <w:sz w:val="24"/>
        </w:rPr>
        <w:t>7、根据综合考核成绩确定考生拟推荐名单</w:t>
      </w:r>
      <w:r>
        <w:rPr>
          <w:sz w:val="24"/>
        </w:rPr>
        <w:t>；</w:t>
      </w:r>
    </w:p>
    <w:p>
      <w:pPr>
        <w:snapToGrid w:val="0"/>
        <w:spacing w:line="360" w:lineRule="auto"/>
        <w:ind w:firstLine="480" w:firstLineChars="200"/>
        <w:rPr>
          <w:sz w:val="24"/>
        </w:rPr>
      </w:pPr>
      <w:r>
        <w:rPr>
          <w:rFonts w:hint="eastAsia"/>
          <w:sz w:val="24"/>
        </w:rPr>
        <w:t>8、其他有关事项</w:t>
      </w:r>
      <w:r>
        <w:rPr>
          <w:sz w:val="24"/>
        </w:rPr>
        <w:t>。</w:t>
      </w:r>
    </w:p>
    <w:p>
      <w:pPr>
        <w:snapToGrid w:val="0"/>
        <w:spacing w:line="360" w:lineRule="auto"/>
        <w:ind w:firstLine="480" w:firstLineChars="200"/>
        <w:rPr>
          <w:sz w:val="24"/>
        </w:rPr>
      </w:pPr>
      <w:r>
        <w:rPr>
          <w:rFonts w:hint="eastAsia"/>
          <w:sz w:val="24"/>
        </w:rPr>
        <w:t>（二）选拔研究生</w:t>
      </w:r>
      <w:r>
        <w:rPr>
          <w:sz w:val="24"/>
        </w:rPr>
        <w:t>硕博连读</w:t>
      </w:r>
      <w:r>
        <w:rPr>
          <w:rFonts w:hint="eastAsia"/>
          <w:sz w:val="24"/>
        </w:rPr>
        <w:t>工作纪律检查组</w:t>
      </w:r>
    </w:p>
    <w:p>
      <w:pPr>
        <w:snapToGrid w:val="0"/>
        <w:spacing w:line="360" w:lineRule="auto"/>
        <w:ind w:firstLine="480" w:firstLineChars="200"/>
        <w:rPr>
          <w:rFonts w:hint="eastAsia" w:eastAsia="宋体"/>
          <w:sz w:val="24"/>
          <w:lang w:eastAsia="zh-CN"/>
        </w:rPr>
      </w:pPr>
      <w:r>
        <w:rPr>
          <w:rFonts w:hint="eastAsia"/>
          <w:sz w:val="24"/>
        </w:rPr>
        <w:t>成立选拔研究生</w:t>
      </w:r>
      <w:r>
        <w:rPr>
          <w:sz w:val="24"/>
        </w:rPr>
        <w:t>硕博连读</w:t>
      </w:r>
      <w:r>
        <w:rPr>
          <w:rFonts w:hint="eastAsia"/>
          <w:sz w:val="24"/>
        </w:rPr>
        <w:t>工作纪律检查组(以下简称纪检组)</w:t>
      </w:r>
      <w:r>
        <w:rPr>
          <w:rFonts w:hint="eastAsia"/>
          <w:sz w:val="24"/>
          <w:lang w:eastAsia="zh-CN"/>
        </w:rPr>
        <w:t>。</w:t>
      </w:r>
    </w:p>
    <w:p>
      <w:pPr>
        <w:snapToGrid w:val="0"/>
        <w:spacing w:line="360" w:lineRule="auto"/>
        <w:ind w:firstLine="480" w:firstLineChars="200"/>
        <w:rPr>
          <w:sz w:val="24"/>
        </w:rPr>
      </w:pPr>
      <w:r>
        <w:rPr>
          <w:rFonts w:hint="eastAsia"/>
          <w:sz w:val="24"/>
        </w:rPr>
        <w:t>纪检组工作职责：</w:t>
      </w:r>
    </w:p>
    <w:p>
      <w:pPr>
        <w:snapToGrid w:val="0"/>
        <w:spacing w:line="360" w:lineRule="auto"/>
        <w:ind w:firstLine="480" w:firstLineChars="200"/>
        <w:rPr>
          <w:sz w:val="24"/>
        </w:rPr>
      </w:pPr>
      <w:r>
        <w:rPr>
          <w:rFonts w:hint="eastAsia"/>
          <w:sz w:val="24"/>
        </w:rPr>
        <w:t>为</w:t>
      </w:r>
      <w:r>
        <w:rPr>
          <w:sz w:val="24"/>
        </w:rPr>
        <w:t>维护招生纪律的严肃性</w:t>
      </w:r>
      <w:r>
        <w:rPr>
          <w:rFonts w:hint="eastAsia"/>
          <w:sz w:val="24"/>
        </w:rPr>
        <w:t>和</w:t>
      </w:r>
      <w:r>
        <w:rPr>
          <w:sz w:val="24"/>
        </w:rPr>
        <w:t>确保研究生录取质量</w:t>
      </w:r>
      <w:r>
        <w:rPr>
          <w:rFonts w:hint="eastAsia"/>
          <w:sz w:val="24"/>
        </w:rPr>
        <w:t>，纪检工作组严格</w:t>
      </w:r>
      <w:r>
        <w:rPr>
          <w:sz w:val="24"/>
        </w:rPr>
        <w:t>监督</w:t>
      </w:r>
      <w:r>
        <w:rPr>
          <w:rFonts w:hint="eastAsia"/>
          <w:sz w:val="24"/>
        </w:rPr>
        <w:t>研究生</w:t>
      </w:r>
      <w:r>
        <w:rPr>
          <w:sz w:val="24"/>
        </w:rPr>
        <w:t>硕博连读</w:t>
      </w:r>
      <w:r>
        <w:rPr>
          <w:rFonts w:hint="eastAsia"/>
          <w:sz w:val="24"/>
        </w:rPr>
        <w:t>选拔</w:t>
      </w:r>
      <w:r>
        <w:rPr>
          <w:sz w:val="24"/>
        </w:rPr>
        <w:t>过程</w:t>
      </w:r>
      <w:r>
        <w:rPr>
          <w:rFonts w:hint="eastAsia"/>
          <w:sz w:val="24"/>
        </w:rPr>
        <w:t>，严肃</w:t>
      </w:r>
      <w:r>
        <w:rPr>
          <w:sz w:val="24"/>
        </w:rPr>
        <w:t>处理违纪违规事件。对违反招生</w:t>
      </w:r>
      <w:r>
        <w:rPr>
          <w:rFonts w:hint="eastAsia"/>
          <w:sz w:val="24"/>
        </w:rPr>
        <w:t>规定</w:t>
      </w:r>
      <w:r>
        <w:rPr>
          <w:sz w:val="24"/>
        </w:rPr>
        <w:t>的</w:t>
      </w:r>
      <w:r>
        <w:rPr>
          <w:rFonts w:hint="eastAsia"/>
          <w:sz w:val="24"/>
        </w:rPr>
        <w:t>面试专家或面试组</w:t>
      </w:r>
      <w:r>
        <w:rPr>
          <w:sz w:val="24"/>
        </w:rPr>
        <w:t>，视情况和性质</w:t>
      </w:r>
      <w:r>
        <w:rPr>
          <w:rFonts w:hint="eastAsia"/>
          <w:sz w:val="24"/>
        </w:rPr>
        <w:t>的不同</w:t>
      </w:r>
      <w:r>
        <w:rPr>
          <w:sz w:val="24"/>
        </w:rPr>
        <w:t>，进行通报批评</w:t>
      </w:r>
      <w:r>
        <w:rPr>
          <w:rFonts w:hint="eastAsia"/>
          <w:sz w:val="24"/>
        </w:rPr>
        <w:t>及其他</w:t>
      </w:r>
      <w:r>
        <w:rPr>
          <w:sz w:val="24"/>
        </w:rPr>
        <w:t>相关处理；对违反</w:t>
      </w:r>
      <w:r>
        <w:rPr>
          <w:rFonts w:hint="eastAsia"/>
          <w:sz w:val="24"/>
        </w:rPr>
        <w:t>招生</w:t>
      </w:r>
      <w:r>
        <w:rPr>
          <w:sz w:val="24"/>
        </w:rPr>
        <w:t>纪律的个人，视情节轻重给予批评教育</w:t>
      </w:r>
      <w:r>
        <w:rPr>
          <w:rFonts w:hint="eastAsia"/>
          <w:sz w:val="24"/>
        </w:rPr>
        <w:t>、</w:t>
      </w:r>
      <w:r>
        <w:rPr>
          <w:sz w:val="24"/>
        </w:rPr>
        <w:t>纪律处分。</w:t>
      </w:r>
    </w:p>
    <w:p>
      <w:pPr>
        <w:snapToGrid w:val="0"/>
        <w:spacing w:line="360" w:lineRule="auto"/>
        <w:ind w:firstLine="480" w:firstLineChars="200"/>
        <w:rPr>
          <w:sz w:val="24"/>
        </w:rPr>
      </w:pPr>
      <w:r>
        <w:rPr>
          <w:rFonts w:hint="eastAsia"/>
          <w:sz w:val="24"/>
        </w:rPr>
        <w:t>（三）硕博连读研究生选拔</w:t>
      </w:r>
      <w:r>
        <w:rPr>
          <w:sz w:val="24"/>
        </w:rPr>
        <w:t>考核</w:t>
      </w:r>
      <w:r>
        <w:rPr>
          <w:rFonts w:hint="eastAsia"/>
          <w:sz w:val="24"/>
        </w:rPr>
        <w:t>专家组：</w:t>
      </w:r>
    </w:p>
    <w:p>
      <w:pPr>
        <w:snapToGrid w:val="0"/>
        <w:spacing w:line="360" w:lineRule="auto"/>
        <w:ind w:firstLine="480" w:firstLineChars="200"/>
        <w:rPr>
          <w:sz w:val="24"/>
        </w:rPr>
      </w:pPr>
      <w:r>
        <w:rPr>
          <w:rFonts w:hint="eastAsia"/>
          <w:sz w:val="24"/>
        </w:rPr>
        <w:t>成立硕博连读研究生选拔</w:t>
      </w:r>
      <w:r>
        <w:rPr>
          <w:sz w:val="24"/>
        </w:rPr>
        <w:t>考核</w:t>
      </w:r>
      <w:r>
        <w:rPr>
          <w:rFonts w:hint="eastAsia"/>
          <w:sz w:val="24"/>
        </w:rPr>
        <w:t>专家组，考核专家组</w:t>
      </w:r>
      <w:r>
        <w:rPr>
          <w:sz w:val="24"/>
        </w:rPr>
        <w:t>由至少</w:t>
      </w:r>
      <w:r>
        <w:rPr>
          <w:rFonts w:hint="eastAsia"/>
          <w:sz w:val="24"/>
        </w:rPr>
        <w:t>3名</w:t>
      </w:r>
      <w:r>
        <w:rPr>
          <w:sz w:val="24"/>
        </w:rPr>
        <w:t xml:space="preserve">博士生导师组成, </w:t>
      </w:r>
      <w:r>
        <w:rPr>
          <w:rFonts w:hint="eastAsia"/>
          <w:sz w:val="24"/>
        </w:rPr>
        <w:t>设</w:t>
      </w:r>
      <w:r>
        <w:rPr>
          <w:sz w:val="24"/>
        </w:rPr>
        <w:t>秘书</w:t>
      </w:r>
      <w:r>
        <w:rPr>
          <w:rFonts w:hint="eastAsia"/>
          <w:sz w:val="24"/>
        </w:rPr>
        <w:t>1人</w:t>
      </w:r>
      <w:r>
        <w:rPr>
          <w:sz w:val="24"/>
        </w:rPr>
        <w:t>。</w:t>
      </w:r>
    </w:p>
    <w:p>
      <w:pPr>
        <w:snapToGrid w:val="0"/>
        <w:spacing w:line="360" w:lineRule="auto"/>
        <w:ind w:firstLine="480" w:firstLineChars="200"/>
        <w:rPr>
          <w:sz w:val="24"/>
        </w:rPr>
      </w:pPr>
      <w:r>
        <w:rPr>
          <w:rFonts w:hint="eastAsia"/>
          <w:sz w:val="24"/>
        </w:rPr>
        <w:t>考核专家组工作职责：</w:t>
      </w:r>
    </w:p>
    <w:p>
      <w:pPr>
        <w:snapToGrid w:val="0"/>
        <w:spacing w:line="360" w:lineRule="auto"/>
        <w:ind w:firstLine="480" w:firstLineChars="200"/>
        <w:rPr>
          <w:sz w:val="24"/>
        </w:rPr>
      </w:pPr>
      <w:r>
        <w:rPr>
          <w:rFonts w:hint="eastAsia"/>
          <w:sz w:val="24"/>
        </w:rPr>
        <w:t>1、按</w:t>
      </w:r>
      <w:r>
        <w:rPr>
          <w:sz w:val="24"/>
        </w:rPr>
        <w:t>面试方案</w:t>
      </w:r>
      <w:r>
        <w:rPr>
          <w:rFonts w:hint="eastAsia"/>
          <w:sz w:val="24"/>
        </w:rPr>
        <w:t>及要求，</w:t>
      </w:r>
      <w:r>
        <w:rPr>
          <w:sz w:val="24"/>
        </w:rPr>
        <w:t>组织实施具体</w:t>
      </w:r>
      <w:r>
        <w:rPr>
          <w:rFonts w:hint="eastAsia"/>
          <w:sz w:val="24"/>
        </w:rPr>
        <w:t>面试工作</w:t>
      </w:r>
      <w:r>
        <w:rPr>
          <w:sz w:val="24"/>
        </w:rPr>
        <w:t>，最终给出</w:t>
      </w:r>
      <w:r>
        <w:rPr>
          <w:rFonts w:hint="eastAsia"/>
          <w:sz w:val="24"/>
        </w:rPr>
        <w:t>专业</w:t>
      </w:r>
      <w:r>
        <w:rPr>
          <w:sz w:val="24"/>
        </w:rPr>
        <w:t>能力考核</w:t>
      </w:r>
      <w:r>
        <w:rPr>
          <w:rFonts w:hint="eastAsia"/>
          <w:sz w:val="24"/>
        </w:rPr>
        <w:t>成绩及</w:t>
      </w:r>
      <w:r>
        <w:rPr>
          <w:sz w:val="24"/>
        </w:rPr>
        <w:t>评语；</w:t>
      </w:r>
    </w:p>
    <w:p>
      <w:pPr>
        <w:snapToGrid w:val="0"/>
        <w:spacing w:line="360" w:lineRule="auto"/>
        <w:ind w:firstLine="480" w:firstLineChars="200"/>
        <w:outlineLvl w:val="0"/>
        <w:rPr>
          <w:sz w:val="24"/>
        </w:rPr>
      </w:pPr>
      <w:r>
        <w:rPr>
          <w:rFonts w:hint="eastAsia"/>
          <w:sz w:val="24"/>
        </w:rPr>
        <w:t>2、</w:t>
      </w:r>
      <w:r>
        <w:rPr>
          <w:sz w:val="24"/>
        </w:rPr>
        <w:t>结合</w:t>
      </w:r>
      <w:r>
        <w:rPr>
          <w:rFonts w:hint="eastAsia"/>
          <w:sz w:val="24"/>
        </w:rPr>
        <w:t>专业</w:t>
      </w:r>
      <w:r>
        <w:rPr>
          <w:sz w:val="24"/>
        </w:rPr>
        <w:t>能力考核结果</w:t>
      </w:r>
      <w:r>
        <w:rPr>
          <w:rFonts w:hint="eastAsia"/>
          <w:sz w:val="24"/>
        </w:rPr>
        <w:t>，</w:t>
      </w:r>
      <w:r>
        <w:rPr>
          <w:sz w:val="24"/>
        </w:rPr>
        <w:t>提出是否录取的</w:t>
      </w:r>
      <w:r>
        <w:rPr>
          <w:rFonts w:hint="eastAsia"/>
          <w:sz w:val="24"/>
        </w:rPr>
        <w:t>建议</w:t>
      </w:r>
      <w:r>
        <w:rPr>
          <w:sz w:val="24"/>
        </w:rPr>
        <w:t>；</w:t>
      </w:r>
    </w:p>
    <w:p>
      <w:pPr>
        <w:snapToGrid w:val="0"/>
        <w:spacing w:line="360" w:lineRule="auto"/>
        <w:ind w:firstLine="480" w:firstLineChars="200"/>
        <w:rPr>
          <w:sz w:val="24"/>
        </w:rPr>
      </w:pPr>
      <w:r>
        <w:rPr>
          <w:rFonts w:hint="eastAsia"/>
          <w:sz w:val="24"/>
        </w:rPr>
        <w:t>考核</w:t>
      </w:r>
      <w:r>
        <w:rPr>
          <w:sz w:val="24"/>
        </w:rPr>
        <w:t>专家组秘书</w:t>
      </w:r>
      <w:r>
        <w:rPr>
          <w:rFonts w:hint="eastAsia"/>
          <w:sz w:val="24"/>
        </w:rPr>
        <w:t>工作职责：</w:t>
      </w:r>
      <w:r>
        <w:rPr>
          <w:sz w:val="24"/>
        </w:rPr>
        <w:t>负责</w:t>
      </w:r>
      <w:r>
        <w:rPr>
          <w:rFonts w:hint="eastAsia"/>
          <w:sz w:val="24"/>
        </w:rPr>
        <w:t>面</w:t>
      </w:r>
      <w:r>
        <w:rPr>
          <w:sz w:val="24"/>
        </w:rPr>
        <w:t>试情况记录和安排相关事宜，</w:t>
      </w:r>
      <w:r>
        <w:rPr>
          <w:rFonts w:hint="eastAsia"/>
          <w:sz w:val="24"/>
        </w:rPr>
        <w:t>负责在面</w:t>
      </w:r>
      <w:r>
        <w:rPr>
          <w:sz w:val="24"/>
        </w:rPr>
        <w:t>试结束后</w:t>
      </w:r>
      <w:r>
        <w:rPr>
          <w:rFonts w:hint="eastAsia"/>
          <w:sz w:val="24"/>
        </w:rPr>
        <w:t>将面试记录及面试评分表</w:t>
      </w:r>
      <w:r>
        <w:rPr>
          <w:sz w:val="24"/>
        </w:rPr>
        <w:t>统一送交学院</w:t>
      </w:r>
      <w:r>
        <w:rPr>
          <w:rFonts w:hint="eastAsia"/>
          <w:sz w:val="24"/>
        </w:rPr>
        <w:t>研究生科</w:t>
      </w:r>
      <w:r>
        <w:rPr>
          <w:sz w:val="24"/>
        </w:rPr>
        <w:t>留存备查。</w:t>
      </w:r>
    </w:p>
    <w:p>
      <w:pPr>
        <w:numPr>
          <w:ilvl w:val="255"/>
          <w:numId w:val="0"/>
        </w:numPr>
        <w:autoSpaceDE w:val="0"/>
        <w:autoSpaceDN w:val="0"/>
        <w:adjustRightInd w:val="0"/>
        <w:snapToGrid w:val="0"/>
        <w:spacing w:line="360" w:lineRule="auto"/>
        <w:ind w:left="315" w:leftChars="150"/>
        <w:rPr>
          <w:b/>
          <w:sz w:val="24"/>
        </w:rPr>
      </w:pPr>
      <w:r>
        <w:rPr>
          <w:rFonts w:hint="eastAsia"/>
          <w:b/>
          <w:sz w:val="24"/>
        </w:rPr>
        <w:t>三、选拔对象及条件</w:t>
      </w:r>
    </w:p>
    <w:p>
      <w:pPr>
        <w:snapToGrid w:val="0"/>
        <w:spacing w:line="360" w:lineRule="auto"/>
        <w:ind w:firstLine="480" w:firstLineChars="200"/>
        <w:rPr>
          <w:rFonts w:hint="eastAsia"/>
          <w:sz w:val="24"/>
        </w:rPr>
      </w:pPr>
      <w:r>
        <w:rPr>
          <w:rFonts w:hint="eastAsia"/>
          <w:sz w:val="24"/>
        </w:rPr>
        <w:t>（一）硕博连读研究生的选拔对象为普通全日制本科学习阶段获得学士学位的本校在读二年级或三年级全日制硕士研究生。</w:t>
      </w:r>
    </w:p>
    <w:p>
      <w:pPr>
        <w:snapToGrid w:val="0"/>
        <w:spacing w:line="360" w:lineRule="auto"/>
        <w:ind w:firstLine="480" w:firstLineChars="200"/>
        <w:rPr>
          <w:rFonts w:hint="eastAsia" w:ascii="Times New Roman" w:hAnsi="Times New Roman"/>
          <w:sz w:val="24"/>
        </w:rPr>
      </w:pPr>
      <w:r>
        <w:rPr>
          <w:rFonts w:hint="eastAsia" w:ascii="Times New Roman" w:hAnsi="Times New Roman"/>
          <w:sz w:val="24"/>
        </w:rPr>
        <w:t>（</w:t>
      </w:r>
      <w:r>
        <w:rPr>
          <w:rFonts w:hint="eastAsia" w:ascii="Times New Roman" w:hAnsi="Times New Roman"/>
          <w:sz w:val="24"/>
          <w:lang w:val="en-US" w:eastAsia="zh-CN"/>
        </w:rPr>
        <w:t>二</w:t>
      </w:r>
      <w:r>
        <w:rPr>
          <w:rFonts w:hint="eastAsia" w:ascii="Times New Roman" w:hAnsi="Times New Roman"/>
          <w:sz w:val="24"/>
        </w:rPr>
        <w:t>）拥护中国共产党的领导，具有正确的政治方向，热爱祖国，愿意为社会主义现代化建设服务，遵纪守法，品行端正。</w:t>
      </w:r>
    </w:p>
    <w:p>
      <w:pPr>
        <w:snapToGrid w:val="0"/>
        <w:spacing w:line="360" w:lineRule="auto"/>
        <w:ind w:firstLine="480" w:firstLineChars="200"/>
        <w:rPr>
          <w:rFonts w:hint="eastAsia" w:ascii="Times New Roman" w:hAnsi="Times New Roman"/>
          <w:sz w:val="24"/>
        </w:rPr>
      </w:pPr>
      <w:r>
        <w:rPr>
          <w:rFonts w:hint="eastAsia" w:ascii="Times New Roman" w:hAnsi="Times New Roman"/>
          <w:sz w:val="24"/>
        </w:rPr>
        <w:t>（</w:t>
      </w:r>
      <w:r>
        <w:rPr>
          <w:rFonts w:hint="eastAsia" w:ascii="Times New Roman" w:hAnsi="Times New Roman"/>
          <w:sz w:val="24"/>
          <w:lang w:val="en-US" w:eastAsia="zh-CN"/>
        </w:rPr>
        <w:t>三</w:t>
      </w:r>
      <w:r>
        <w:rPr>
          <w:rFonts w:hint="eastAsia" w:ascii="Times New Roman" w:hAnsi="Times New Roman"/>
          <w:sz w:val="24"/>
        </w:rPr>
        <w:t>）完成硕士研究生培养计划要求的全部课程学习及相应阶段的培养环节，取得规定的学分,无重修科目。</w:t>
      </w:r>
    </w:p>
    <w:p>
      <w:pPr>
        <w:snapToGrid w:val="0"/>
        <w:spacing w:line="360" w:lineRule="auto"/>
        <w:ind w:firstLine="480" w:firstLineChars="200"/>
        <w:rPr>
          <w:rFonts w:hint="eastAsia" w:ascii="Times New Roman" w:hAnsi="Times New Roman"/>
          <w:sz w:val="24"/>
        </w:rPr>
      </w:pPr>
      <w:r>
        <w:rPr>
          <w:rFonts w:hint="eastAsia" w:ascii="Times New Roman" w:hAnsi="Times New Roman"/>
          <w:sz w:val="24"/>
        </w:rPr>
        <w:t>（</w:t>
      </w:r>
      <w:r>
        <w:rPr>
          <w:rFonts w:hint="eastAsia" w:ascii="Times New Roman" w:hAnsi="Times New Roman"/>
          <w:sz w:val="24"/>
          <w:lang w:val="en-US" w:eastAsia="zh-CN"/>
        </w:rPr>
        <w:t>四</w:t>
      </w:r>
      <w:r>
        <w:rPr>
          <w:rFonts w:hint="eastAsia" w:ascii="Times New Roman" w:hAnsi="Times New Roman"/>
          <w:sz w:val="24"/>
        </w:rPr>
        <w:t>）有浓厚的科学研究兴趣、严谨的科学研究态度、较强的创新和独立科学研究能力、以及良好的合作精神。</w:t>
      </w:r>
    </w:p>
    <w:p>
      <w:pPr>
        <w:snapToGrid w:val="0"/>
        <w:spacing w:line="360" w:lineRule="auto"/>
        <w:ind w:firstLine="480" w:firstLineChars="200"/>
        <w:rPr>
          <w:rFonts w:hint="eastAsia" w:ascii="Times New Roman" w:hAnsi="Times New Roman"/>
          <w:sz w:val="24"/>
        </w:rPr>
      </w:pPr>
      <w:r>
        <w:rPr>
          <w:rFonts w:hint="eastAsia" w:ascii="Times New Roman" w:hAnsi="Times New Roman"/>
          <w:sz w:val="24"/>
        </w:rPr>
        <w:t>（</w:t>
      </w:r>
      <w:r>
        <w:rPr>
          <w:rFonts w:hint="eastAsia" w:ascii="Times New Roman" w:hAnsi="Times New Roman"/>
          <w:sz w:val="24"/>
          <w:lang w:val="en-US" w:eastAsia="zh-CN"/>
        </w:rPr>
        <w:t>五</w:t>
      </w:r>
      <w:r>
        <w:rPr>
          <w:rFonts w:hint="eastAsia" w:ascii="Times New Roman" w:hAnsi="Times New Roman"/>
          <w:sz w:val="24"/>
        </w:rPr>
        <w:t>）硕士阶段的学科专业与申请攻读的博士学位授权学科专业原则上一致。</w:t>
      </w:r>
    </w:p>
    <w:p>
      <w:pPr>
        <w:snapToGrid w:val="0"/>
        <w:spacing w:line="360" w:lineRule="auto"/>
        <w:ind w:firstLine="480" w:firstLineChars="200"/>
        <w:rPr>
          <w:rFonts w:hint="eastAsia" w:ascii="Times New Roman" w:hAnsi="Times New Roman"/>
          <w:sz w:val="24"/>
        </w:rPr>
      </w:pPr>
      <w:r>
        <w:rPr>
          <w:rFonts w:hint="eastAsia" w:ascii="Times New Roman" w:hAnsi="Times New Roman"/>
          <w:sz w:val="24"/>
        </w:rPr>
        <w:t>（</w:t>
      </w:r>
      <w:r>
        <w:rPr>
          <w:rFonts w:hint="eastAsia" w:ascii="Times New Roman" w:hAnsi="Times New Roman"/>
          <w:sz w:val="24"/>
          <w:lang w:val="en-US" w:eastAsia="zh-CN"/>
        </w:rPr>
        <w:t>六</w:t>
      </w:r>
      <w:r>
        <w:rPr>
          <w:rFonts w:hint="eastAsia" w:ascii="Times New Roman" w:hAnsi="Times New Roman"/>
          <w:sz w:val="24"/>
        </w:rPr>
        <w:t>）至少有两名所在专业领域教授（或相当职称的专家）的书面推荐意见。</w:t>
      </w:r>
    </w:p>
    <w:p>
      <w:pPr>
        <w:snapToGrid w:val="0"/>
        <w:spacing w:line="360" w:lineRule="auto"/>
        <w:ind w:firstLine="480" w:firstLineChars="200"/>
        <w:rPr>
          <w:rFonts w:hint="eastAsia" w:ascii="Times New Roman" w:hAnsi="Times New Roman"/>
          <w:sz w:val="24"/>
        </w:rPr>
      </w:pPr>
      <w:r>
        <w:rPr>
          <w:rFonts w:hint="eastAsia" w:ascii="Times New Roman" w:hAnsi="Times New Roman"/>
          <w:sz w:val="24"/>
        </w:rPr>
        <w:t>（</w:t>
      </w:r>
      <w:r>
        <w:rPr>
          <w:rFonts w:hint="eastAsia" w:ascii="Times New Roman" w:hAnsi="Times New Roman"/>
          <w:sz w:val="24"/>
          <w:lang w:val="en-US" w:eastAsia="zh-CN"/>
        </w:rPr>
        <w:t>七</w:t>
      </w:r>
      <w:r>
        <w:rPr>
          <w:rFonts w:hint="eastAsia" w:ascii="Times New Roman" w:hAnsi="Times New Roman"/>
          <w:sz w:val="24"/>
        </w:rPr>
        <w:t>）身体健康。</w:t>
      </w:r>
    </w:p>
    <w:p>
      <w:pPr>
        <w:snapToGrid w:val="0"/>
        <w:spacing w:line="360" w:lineRule="auto"/>
        <w:ind w:firstLine="480" w:firstLineChars="200"/>
        <w:rPr>
          <w:rFonts w:hint="eastAsia" w:ascii="仿宋_GB2312" w:hAnsi="宋体" w:eastAsia="仿宋_GB2312"/>
          <w:color w:val="auto"/>
          <w:sz w:val="34"/>
          <w:szCs w:val="34"/>
        </w:rPr>
      </w:pPr>
      <w:r>
        <w:rPr>
          <w:rFonts w:hint="eastAsia" w:ascii="Times New Roman" w:hAnsi="Times New Roman"/>
          <w:sz w:val="24"/>
        </w:rPr>
        <w:t>（</w:t>
      </w:r>
      <w:r>
        <w:rPr>
          <w:rFonts w:hint="eastAsia" w:ascii="Times New Roman" w:hAnsi="Times New Roman"/>
          <w:sz w:val="24"/>
          <w:lang w:val="en-US" w:eastAsia="zh-CN"/>
        </w:rPr>
        <w:t>八</w:t>
      </w:r>
      <w:r>
        <w:rPr>
          <w:rFonts w:hint="eastAsia" w:ascii="Times New Roman" w:hAnsi="Times New Roman"/>
          <w:sz w:val="24"/>
        </w:rPr>
        <w:t>）定向或委培硕士研究生申请硕博连读，须征得定向或委培单位的同意。</w:t>
      </w:r>
    </w:p>
    <w:p>
      <w:pPr>
        <w:snapToGrid w:val="0"/>
        <w:spacing w:line="360" w:lineRule="auto"/>
        <w:ind w:firstLine="480" w:firstLineChars="200"/>
        <w:rPr>
          <w:sz w:val="24"/>
        </w:rPr>
      </w:pPr>
    </w:p>
    <w:p>
      <w:pPr>
        <w:numPr>
          <w:ilvl w:val="255"/>
          <w:numId w:val="0"/>
        </w:numPr>
        <w:autoSpaceDE w:val="0"/>
        <w:autoSpaceDN w:val="0"/>
        <w:adjustRightInd w:val="0"/>
        <w:snapToGrid w:val="0"/>
        <w:spacing w:line="360" w:lineRule="auto"/>
        <w:ind w:left="315" w:leftChars="150"/>
        <w:rPr>
          <w:b/>
          <w:color w:val="000000" w:themeColor="text1"/>
          <w:sz w:val="24"/>
        </w:rPr>
      </w:pPr>
      <w:r>
        <w:rPr>
          <w:rFonts w:hint="eastAsia"/>
          <w:b/>
          <w:color w:val="000000" w:themeColor="text1"/>
          <w:sz w:val="24"/>
        </w:rPr>
        <w:t>四、选拔时间</w:t>
      </w:r>
      <w:r>
        <w:rPr>
          <w:b/>
          <w:color w:val="000000" w:themeColor="text1"/>
          <w:sz w:val="24"/>
        </w:rPr>
        <w:t>安排</w:t>
      </w:r>
    </w:p>
    <w:p>
      <w:pPr>
        <w:snapToGrid w:val="0"/>
        <w:spacing w:line="360" w:lineRule="auto"/>
        <w:ind w:firstLine="480" w:firstLineChars="200"/>
        <w:rPr>
          <w:color w:val="000000" w:themeColor="text1"/>
          <w:sz w:val="24"/>
        </w:rPr>
      </w:pPr>
      <w:r>
        <w:rPr>
          <w:rFonts w:hint="eastAsia" w:ascii="仿宋_GB2312" w:eastAsia="仿宋_GB2312"/>
          <w:color w:val="000000" w:themeColor="text1"/>
          <w:sz w:val="24"/>
        </w:rPr>
        <w:t>（一）</w:t>
      </w:r>
      <w:r>
        <w:rPr>
          <w:rFonts w:hint="eastAsia"/>
          <w:color w:val="000000" w:themeColor="text1"/>
          <w:sz w:val="24"/>
        </w:rPr>
        <w:t>硕博连读申请人于202</w:t>
      </w:r>
      <w:r>
        <w:rPr>
          <w:rFonts w:hint="eastAsia"/>
          <w:color w:val="000000" w:themeColor="text1"/>
          <w:sz w:val="24"/>
          <w:lang w:val="en-US" w:eastAsia="zh-CN"/>
        </w:rPr>
        <w:t>2</w:t>
      </w:r>
      <w:r>
        <w:rPr>
          <w:rFonts w:hint="eastAsia"/>
          <w:color w:val="000000" w:themeColor="text1"/>
          <w:sz w:val="24"/>
        </w:rPr>
        <w:t>年</w:t>
      </w:r>
      <w:r>
        <w:rPr>
          <w:rFonts w:hint="eastAsia"/>
          <w:color w:val="000000" w:themeColor="text1"/>
          <w:sz w:val="24"/>
          <w:lang w:val="en-US" w:eastAsia="zh-CN"/>
        </w:rPr>
        <w:t>11</w:t>
      </w:r>
      <w:r>
        <w:rPr>
          <w:rFonts w:hint="eastAsia"/>
          <w:color w:val="000000" w:themeColor="text1"/>
          <w:sz w:val="24"/>
        </w:rPr>
        <w:t>月</w:t>
      </w:r>
      <w:r>
        <w:rPr>
          <w:rFonts w:hint="eastAsia"/>
          <w:color w:val="000000" w:themeColor="text1"/>
          <w:sz w:val="24"/>
          <w:lang w:val="en-US" w:eastAsia="zh-CN"/>
        </w:rPr>
        <w:t>5</w:t>
      </w:r>
      <w:r>
        <w:rPr>
          <w:rFonts w:hint="eastAsia"/>
          <w:color w:val="000000" w:themeColor="text1"/>
          <w:sz w:val="24"/>
        </w:rPr>
        <w:t>日前向招生单位提交个人申请以及相关申请材料，</w:t>
      </w:r>
      <w:r>
        <w:fldChar w:fldCharType="begin"/>
      </w:r>
      <w:r>
        <w:instrText xml:space="preserve"> HYPERLINK "http://gs.gzu.edu.cn/）进行网上申请，并缴纳报名费（180" </w:instrText>
      </w:r>
      <w:r>
        <w:fldChar w:fldCharType="separate"/>
      </w:r>
      <w:r>
        <w:rPr>
          <w:rFonts w:hint="eastAsia"/>
          <w:color w:val="000000" w:themeColor="text1"/>
          <w:sz w:val="24"/>
        </w:rPr>
        <w:t>并缴纳报名费（180</w:t>
      </w:r>
      <w:r>
        <w:rPr>
          <w:rFonts w:hint="eastAsia"/>
          <w:color w:val="000000" w:themeColor="text1"/>
          <w:sz w:val="24"/>
        </w:rPr>
        <w:fldChar w:fldCharType="end"/>
      </w:r>
      <w:r>
        <w:rPr>
          <w:rFonts w:hint="eastAsia"/>
          <w:color w:val="000000" w:themeColor="text1"/>
          <w:sz w:val="24"/>
        </w:rPr>
        <w:t>元/人）。申请材料如下：</w:t>
      </w:r>
    </w:p>
    <w:p>
      <w:pPr>
        <w:snapToGrid w:val="0"/>
        <w:spacing w:line="360" w:lineRule="auto"/>
        <w:ind w:firstLine="480" w:firstLineChars="200"/>
        <w:rPr>
          <w:rFonts w:hint="eastAsia"/>
          <w:color w:val="000000" w:themeColor="text1"/>
          <w:sz w:val="24"/>
        </w:rPr>
      </w:pPr>
      <w:r>
        <w:rPr>
          <w:rFonts w:hint="eastAsia"/>
          <w:color w:val="000000" w:themeColor="text1"/>
          <w:sz w:val="24"/>
        </w:rPr>
        <w:t>1.《贵州大学硕博连读研究生申请表》；</w:t>
      </w:r>
    </w:p>
    <w:p>
      <w:pPr>
        <w:snapToGrid w:val="0"/>
        <w:spacing w:line="360" w:lineRule="auto"/>
        <w:ind w:firstLine="480" w:firstLineChars="200"/>
        <w:rPr>
          <w:rFonts w:hint="eastAsia"/>
          <w:color w:val="000000" w:themeColor="text1"/>
          <w:sz w:val="24"/>
        </w:rPr>
      </w:pPr>
      <w:r>
        <w:rPr>
          <w:rFonts w:hint="eastAsia"/>
          <w:color w:val="000000" w:themeColor="text1"/>
          <w:sz w:val="24"/>
        </w:rPr>
        <w:t>2.《贵州大学硕博连读研究生专家推荐书》；</w:t>
      </w:r>
    </w:p>
    <w:p>
      <w:pPr>
        <w:snapToGrid w:val="0"/>
        <w:spacing w:line="360" w:lineRule="auto"/>
        <w:ind w:firstLine="480" w:firstLineChars="200"/>
        <w:rPr>
          <w:rFonts w:hint="eastAsia"/>
          <w:color w:val="000000" w:themeColor="text1"/>
          <w:sz w:val="24"/>
        </w:rPr>
      </w:pPr>
      <w:r>
        <w:rPr>
          <w:rFonts w:hint="eastAsia"/>
          <w:color w:val="000000" w:themeColor="text1"/>
          <w:sz w:val="24"/>
        </w:rPr>
        <w:t>3.硕士研究生在读期间科研成果证明材料；</w:t>
      </w:r>
    </w:p>
    <w:p>
      <w:pPr>
        <w:snapToGrid w:val="0"/>
        <w:spacing w:line="360" w:lineRule="auto"/>
        <w:ind w:firstLine="480" w:firstLineChars="200"/>
        <w:rPr>
          <w:rFonts w:hint="eastAsia"/>
          <w:color w:val="000000" w:themeColor="text1"/>
          <w:sz w:val="24"/>
        </w:rPr>
      </w:pPr>
      <w:r>
        <w:rPr>
          <w:rFonts w:hint="eastAsia"/>
          <w:color w:val="000000" w:themeColor="text1"/>
          <w:sz w:val="24"/>
        </w:rPr>
        <w:t>4.硕士研究生在读期间获得的奖励证书复印件；</w:t>
      </w:r>
    </w:p>
    <w:p>
      <w:pPr>
        <w:snapToGrid w:val="0"/>
        <w:spacing w:line="360" w:lineRule="auto"/>
        <w:ind w:firstLine="480" w:firstLineChars="200"/>
        <w:rPr>
          <w:rFonts w:hint="eastAsia"/>
          <w:color w:val="000000" w:themeColor="text1"/>
          <w:sz w:val="24"/>
        </w:rPr>
      </w:pPr>
      <w:r>
        <w:rPr>
          <w:rFonts w:hint="eastAsia"/>
          <w:color w:val="000000" w:themeColor="text1"/>
          <w:sz w:val="24"/>
        </w:rPr>
        <w:t>5.硕士研究生在读期间参加科研情况简述；</w:t>
      </w:r>
    </w:p>
    <w:p>
      <w:pPr>
        <w:snapToGrid w:val="0"/>
        <w:spacing w:line="360" w:lineRule="auto"/>
        <w:ind w:firstLine="480" w:firstLineChars="200"/>
        <w:rPr>
          <w:rFonts w:hint="eastAsia"/>
          <w:color w:val="000000" w:themeColor="text1"/>
          <w:sz w:val="24"/>
        </w:rPr>
      </w:pPr>
      <w:r>
        <w:rPr>
          <w:rFonts w:hint="eastAsia"/>
          <w:color w:val="000000" w:themeColor="text1"/>
          <w:sz w:val="24"/>
        </w:rPr>
        <w:t>6.硕士研究生证复印件；</w:t>
      </w:r>
    </w:p>
    <w:p>
      <w:pPr>
        <w:snapToGrid w:val="0"/>
        <w:spacing w:line="360" w:lineRule="auto"/>
        <w:ind w:firstLine="480" w:firstLineChars="200"/>
        <w:rPr>
          <w:rFonts w:hint="eastAsia"/>
          <w:color w:val="000000" w:themeColor="text1"/>
          <w:sz w:val="24"/>
        </w:rPr>
      </w:pPr>
      <w:r>
        <w:rPr>
          <w:rFonts w:hint="eastAsia"/>
          <w:color w:val="000000" w:themeColor="text1"/>
          <w:sz w:val="24"/>
        </w:rPr>
        <w:t>7.身份证复印件（军人须提供军官证复印件和居民身份证复印件）。</w:t>
      </w:r>
    </w:p>
    <w:p>
      <w:pPr>
        <w:snapToGrid w:val="0"/>
        <w:spacing w:line="360" w:lineRule="auto"/>
        <w:ind w:firstLine="480" w:firstLineChars="200"/>
        <w:rPr>
          <w:color w:val="000000" w:themeColor="text1"/>
          <w:sz w:val="24"/>
        </w:rPr>
      </w:pPr>
      <w:r>
        <w:rPr>
          <w:rFonts w:hint="eastAsia"/>
          <w:color w:val="000000" w:themeColor="text1"/>
          <w:sz w:val="24"/>
        </w:rPr>
        <w:t>（二）</w:t>
      </w:r>
      <w:r>
        <w:rPr>
          <w:color w:val="000000" w:themeColor="text1"/>
          <w:sz w:val="24"/>
        </w:rPr>
        <w:t>招生单位于</w:t>
      </w:r>
      <w:r>
        <w:rPr>
          <w:rFonts w:hint="eastAsia"/>
          <w:color w:val="000000" w:themeColor="text1"/>
          <w:sz w:val="24"/>
        </w:rPr>
        <w:t>20</w:t>
      </w:r>
      <w:r>
        <w:rPr>
          <w:rFonts w:hint="eastAsia"/>
          <w:color w:val="000000" w:themeColor="text1"/>
          <w:sz w:val="24"/>
          <w:lang w:val="en-US" w:eastAsia="zh-CN"/>
        </w:rPr>
        <w:t>22</w:t>
      </w:r>
      <w:r>
        <w:rPr>
          <w:rFonts w:hint="eastAsia"/>
          <w:color w:val="000000" w:themeColor="text1"/>
          <w:sz w:val="24"/>
        </w:rPr>
        <w:t>年1</w:t>
      </w:r>
      <w:r>
        <w:rPr>
          <w:rFonts w:hint="eastAsia"/>
          <w:color w:val="000000" w:themeColor="text1"/>
          <w:sz w:val="24"/>
          <w:lang w:val="en-US" w:eastAsia="zh-CN"/>
        </w:rPr>
        <w:t>1</w:t>
      </w:r>
      <w:r>
        <w:rPr>
          <w:rFonts w:hint="eastAsia"/>
          <w:color w:val="000000" w:themeColor="text1"/>
          <w:sz w:val="24"/>
        </w:rPr>
        <w:t>月</w:t>
      </w:r>
      <w:r>
        <w:rPr>
          <w:rFonts w:hint="eastAsia"/>
          <w:color w:val="000000" w:themeColor="text1"/>
          <w:sz w:val="24"/>
          <w:lang w:val="en-US" w:eastAsia="zh-CN"/>
        </w:rPr>
        <w:t>7</w:t>
      </w:r>
      <w:r>
        <w:rPr>
          <w:color w:val="000000" w:themeColor="text1"/>
          <w:sz w:val="24"/>
        </w:rPr>
        <w:t>日前完成资格审查并公示，同时向研招办提交《贵州大学硕博连读研究生报考名单汇总表》（见附件</w:t>
      </w:r>
      <w:r>
        <w:rPr>
          <w:rFonts w:hint="eastAsia"/>
          <w:color w:val="000000" w:themeColor="text1"/>
          <w:sz w:val="24"/>
        </w:rPr>
        <w:t>5</w:t>
      </w:r>
      <w:r>
        <w:rPr>
          <w:color w:val="000000" w:themeColor="text1"/>
          <w:sz w:val="24"/>
        </w:rPr>
        <w:t>）。</w:t>
      </w:r>
    </w:p>
    <w:p>
      <w:pPr>
        <w:snapToGrid w:val="0"/>
        <w:spacing w:line="360" w:lineRule="auto"/>
        <w:ind w:firstLine="480" w:firstLineChars="200"/>
        <w:rPr>
          <w:sz w:val="24"/>
        </w:rPr>
      </w:pPr>
      <w:r>
        <w:rPr>
          <w:rFonts w:hint="eastAsia"/>
          <w:color w:val="000000" w:themeColor="text1"/>
          <w:sz w:val="24"/>
        </w:rPr>
        <w:t>（三）英语水平未达到CET-6的申请者，须参加学校英语水平统一考试</w:t>
      </w:r>
      <w:r>
        <w:rPr>
          <w:rFonts w:hint="eastAsia"/>
          <w:color w:val="000000" w:themeColor="text1"/>
          <w:sz w:val="24"/>
          <w:lang w:eastAsia="zh-CN"/>
        </w:rPr>
        <w:t>，</w:t>
      </w:r>
      <w:r>
        <w:rPr>
          <w:rFonts w:hint="eastAsia"/>
          <w:color w:val="000000" w:themeColor="text1"/>
          <w:sz w:val="24"/>
        </w:rPr>
        <w:t>考试</w:t>
      </w:r>
      <w:r>
        <w:rPr>
          <w:rFonts w:hint="eastAsia"/>
          <w:color w:val="000000" w:themeColor="text1"/>
          <w:sz w:val="24"/>
          <w:lang w:eastAsia="zh-CN"/>
        </w:rPr>
        <w:t>的</w:t>
      </w:r>
      <w:r>
        <w:rPr>
          <w:rFonts w:hint="eastAsia"/>
          <w:color w:val="000000" w:themeColor="text1"/>
          <w:sz w:val="24"/>
          <w:lang w:val="en-US" w:eastAsia="zh-CN"/>
        </w:rPr>
        <w:t>具体</w:t>
      </w:r>
      <w:r>
        <w:rPr>
          <w:rFonts w:hint="eastAsia"/>
          <w:color w:val="000000" w:themeColor="text1"/>
          <w:sz w:val="24"/>
        </w:rPr>
        <w:t>时间和地点</w:t>
      </w:r>
      <w:r>
        <w:rPr>
          <w:rFonts w:hint="eastAsia"/>
          <w:color w:val="000000" w:themeColor="text1"/>
          <w:sz w:val="24"/>
          <w:lang w:val="en-US" w:eastAsia="zh-CN"/>
        </w:rPr>
        <w:t>按照学校安排</w:t>
      </w:r>
      <w:bookmarkStart w:id="0" w:name="_GoBack"/>
      <w:bookmarkEnd w:id="0"/>
      <w:r>
        <w:rPr>
          <w:rFonts w:hint="eastAsia"/>
          <w:color w:val="000000" w:themeColor="text1"/>
          <w:sz w:val="24"/>
        </w:rPr>
        <w:t>。</w:t>
      </w:r>
    </w:p>
    <w:p>
      <w:pPr>
        <w:snapToGrid w:val="0"/>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sz w:val="24"/>
        </w:rPr>
        <w:t>（四）专业能力考核工作于202</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年</w:t>
      </w:r>
      <w:r>
        <w:rPr>
          <w:rFonts w:hint="eastAsia" w:asciiTheme="minorEastAsia" w:hAnsiTheme="minorEastAsia" w:eastAsiaTheme="minorEastAsia"/>
          <w:sz w:val="24"/>
          <w:lang w:val="en-US" w:eastAsia="zh-CN"/>
        </w:rPr>
        <w:t>11</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15</w:t>
      </w:r>
      <w:r>
        <w:rPr>
          <w:rFonts w:hint="eastAsia" w:asciiTheme="minorEastAsia" w:hAnsiTheme="minorEastAsia" w:eastAsiaTheme="minorEastAsia"/>
          <w:sz w:val="24"/>
        </w:rPr>
        <w:t>日前完成</w:t>
      </w:r>
      <w:r>
        <w:rPr>
          <w:rFonts w:hint="eastAsia" w:asciiTheme="minorEastAsia" w:hAnsiTheme="minorEastAsia" w:eastAsiaTheme="minorEastAsia"/>
          <w:color w:val="000000"/>
          <w:sz w:val="24"/>
        </w:rPr>
        <w:t>，由电气工程学院组织考核并公示结果。</w:t>
      </w:r>
    </w:p>
    <w:p>
      <w:pPr>
        <w:snapToGrid w:val="0"/>
        <w:spacing w:line="360" w:lineRule="auto"/>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五</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《贵州大学硕博连读研究生拟录取名单汇总表》（见附件</w:t>
      </w:r>
      <w:r>
        <w:rPr>
          <w:rFonts w:hint="eastAsia" w:asciiTheme="minorEastAsia" w:hAnsiTheme="minorEastAsia" w:eastAsiaTheme="minorEastAsia"/>
          <w:color w:val="000000"/>
          <w:sz w:val="24"/>
          <w:lang w:val="en-US" w:eastAsia="zh-CN"/>
        </w:rPr>
        <w:t>6</w:t>
      </w:r>
      <w:r>
        <w:rPr>
          <w:rFonts w:hint="eastAsia" w:asciiTheme="minorEastAsia" w:hAnsiTheme="minorEastAsia" w:eastAsiaTheme="minorEastAsia"/>
          <w:color w:val="000000"/>
          <w:sz w:val="24"/>
        </w:rPr>
        <w:t>）于202</w:t>
      </w:r>
      <w:r>
        <w:rPr>
          <w:rFonts w:hint="eastAsia" w:asciiTheme="minorEastAsia" w:hAnsiTheme="minorEastAsia" w:eastAsiaTheme="minorEastAsia"/>
          <w:color w:val="000000"/>
          <w:sz w:val="24"/>
          <w:lang w:val="en-US" w:eastAsia="zh-CN"/>
        </w:rPr>
        <w:t>2</w:t>
      </w:r>
      <w:r>
        <w:rPr>
          <w:rFonts w:hint="eastAsia" w:asciiTheme="minorEastAsia" w:hAnsiTheme="minorEastAsia" w:eastAsiaTheme="minorEastAsia"/>
          <w:color w:val="000000"/>
          <w:sz w:val="24"/>
        </w:rPr>
        <w:t>年</w:t>
      </w:r>
      <w:r>
        <w:rPr>
          <w:rFonts w:hint="eastAsia" w:asciiTheme="minorEastAsia" w:hAnsiTheme="minorEastAsia" w:eastAsiaTheme="minorEastAsia"/>
          <w:color w:val="000000"/>
          <w:sz w:val="24"/>
          <w:lang w:val="en-US" w:eastAsia="zh-CN"/>
        </w:rPr>
        <w:t>11</w:t>
      </w:r>
      <w:r>
        <w:rPr>
          <w:rFonts w:hint="eastAsia" w:asciiTheme="minorEastAsia" w:hAnsiTheme="minorEastAsia" w:eastAsiaTheme="minorEastAsia"/>
          <w:color w:val="000000"/>
          <w:sz w:val="24"/>
        </w:rPr>
        <w:t>月</w:t>
      </w:r>
      <w:r>
        <w:rPr>
          <w:rFonts w:hint="eastAsia" w:asciiTheme="minorEastAsia" w:hAnsiTheme="minorEastAsia" w:eastAsiaTheme="minorEastAsia"/>
          <w:color w:val="000000"/>
          <w:sz w:val="24"/>
          <w:lang w:val="en-US" w:eastAsia="zh-CN"/>
        </w:rPr>
        <w:t>18</w:t>
      </w:r>
      <w:r>
        <w:rPr>
          <w:rFonts w:hint="eastAsia" w:asciiTheme="minorEastAsia" w:hAnsiTheme="minorEastAsia" w:eastAsiaTheme="minorEastAsia"/>
          <w:color w:val="000000"/>
          <w:sz w:val="24"/>
        </w:rPr>
        <w:t>日前报校研究生招生办公室，经校研究生招生工作领导小组审批后公示</w:t>
      </w:r>
      <w:r>
        <w:rPr>
          <w:rFonts w:hint="eastAsia" w:asciiTheme="minorEastAsia" w:hAnsiTheme="minorEastAsia" w:eastAsiaTheme="minorEastAsia"/>
          <w:color w:val="000000"/>
          <w:sz w:val="24"/>
          <w:lang w:val="en-US" w:eastAsia="zh-CN"/>
        </w:rPr>
        <w:t>拟录取名单</w:t>
      </w:r>
      <w:r>
        <w:rPr>
          <w:rFonts w:hint="eastAsia" w:asciiTheme="minorEastAsia" w:hAnsiTheme="minorEastAsia" w:eastAsiaTheme="minorEastAsia"/>
          <w:color w:val="000000"/>
          <w:sz w:val="24"/>
        </w:rPr>
        <w:t>。</w:t>
      </w:r>
    </w:p>
    <w:p>
      <w:pPr>
        <w:snapToGrid w:val="0"/>
        <w:spacing w:line="360" w:lineRule="auto"/>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六</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获得硕博连读资格的研究生拟于202</w:t>
      </w:r>
      <w:r>
        <w:rPr>
          <w:rFonts w:hint="eastAsia" w:asciiTheme="minorEastAsia" w:hAnsiTheme="minorEastAsia" w:eastAsiaTheme="minorEastAsia"/>
          <w:color w:val="000000"/>
          <w:sz w:val="24"/>
          <w:lang w:val="en-US" w:eastAsia="zh-CN"/>
        </w:rPr>
        <w:t>3</w:t>
      </w:r>
      <w:r>
        <w:rPr>
          <w:rFonts w:hint="eastAsia" w:asciiTheme="minorEastAsia" w:hAnsiTheme="minorEastAsia" w:eastAsiaTheme="minorEastAsia"/>
          <w:color w:val="000000"/>
          <w:sz w:val="24"/>
        </w:rPr>
        <w:t>年</w:t>
      </w:r>
      <w:r>
        <w:rPr>
          <w:rFonts w:hint="eastAsia" w:asciiTheme="minorEastAsia" w:hAnsiTheme="minorEastAsia" w:eastAsiaTheme="minorEastAsia"/>
          <w:color w:val="000000"/>
          <w:sz w:val="24"/>
          <w:lang w:val="en-US" w:eastAsia="zh-CN"/>
        </w:rPr>
        <w:t>3</w:t>
      </w:r>
      <w:r>
        <w:rPr>
          <w:rFonts w:hint="eastAsia" w:asciiTheme="minorEastAsia" w:hAnsiTheme="minorEastAsia" w:eastAsiaTheme="minorEastAsia"/>
          <w:color w:val="000000"/>
          <w:sz w:val="24"/>
        </w:rPr>
        <w:t>月</w:t>
      </w:r>
      <w:r>
        <w:rPr>
          <w:rFonts w:hint="eastAsia" w:asciiTheme="minorEastAsia" w:hAnsiTheme="minorEastAsia" w:eastAsiaTheme="minorEastAsia"/>
          <w:color w:val="000000"/>
          <w:sz w:val="24"/>
          <w:lang w:val="en-US" w:eastAsia="zh-CN"/>
        </w:rPr>
        <w:t>1</w:t>
      </w:r>
      <w:r>
        <w:rPr>
          <w:rFonts w:hint="eastAsia" w:asciiTheme="minorEastAsia" w:hAnsiTheme="minorEastAsia" w:eastAsiaTheme="minorEastAsia"/>
          <w:color w:val="000000"/>
          <w:sz w:val="24"/>
        </w:rPr>
        <w:t>日-</w:t>
      </w:r>
      <w:r>
        <w:rPr>
          <w:rFonts w:hint="eastAsia" w:asciiTheme="minorEastAsia" w:hAnsiTheme="minorEastAsia" w:eastAsiaTheme="minorEastAsia"/>
          <w:color w:val="000000"/>
          <w:sz w:val="24"/>
          <w:lang w:val="en-US" w:eastAsia="zh-CN"/>
        </w:rPr>
        <w:t>4</w:t>
      </w:r>
      <w:r>
        <w:rPr>
          <w:rFonts w:hint="eastAsia" w:asciiTheme="minorEastAsia" w:hAnsiTheme="minorEastAsia" w:eastAsiaTheme="minorEastAsia"/>
          <w:color w:val="000000"/>
          <w:sz w:val="24"/>
        </w:rPr>
        <w:t>日登陆中国研究生招生信息网（网址：</w:t>
      </w:r>
      <w:r>
        <w:rPr>
          <w:rFonts w:hint="eastAsia" w:asciiTheme="minorEastAsia" w:hAnsiTheme="minorEastAsia" w:eastAsiaTheme="minorEastAsia"/>
          <w:color w:val="000000"/>
          <w:sz w:val="24"/>
        </w:rPr>
        <w:fldChar w:fldCharType="begin"/>
      </w:r>
      <w:r>
        <w:rPr>
          <w:rFonts w:hint="eastAsia" w:asciiTheme="minorEastAsia" w:hAnsiTheme="minorEastAsia" w:eastAsiaTheme="minorEastAsia"/>
          <w:color w:val="000000"/>
          <w:sz w:val="24"/>
        </w:rPr>
        <w:instrText xml:space="preserve"> HYPERLINK "http://gsgl.gzu.edu.cn/sso/login）完成报名工作。" </w:instrText>
      </w:r>
      <w:r>
        <w:rPr>
          <w:rFonts w:hint="eastAsia" w:asciiTheme="minorEastAsia" w:hAnsiTheme="minorEastAsia" w:eastAsiaTheme="minorEastAsia"/>
          <w:color w:val="000000"/>
          <w:sz w:val="24"/>
        </w:rPr>
        <w:fldChar w:fldCharType="separate"/>
      </w:r>
      <w:r>
        <w:rPr>
          <w:rFonts w:hint="eastAsia" w:asciiTheme="minorEastAsia" w:hAnsiTheme="minorEastAsia" w:eastAsiaTheme="minorEastAsia"/>
          <w:color w:val="000000"/>
          <w:sz w:val="24"/>
        </w:rPr>
        <w:t>https://yz.chsi.com.cn/）完成报名工作，具体时间另行通知。</w:t>
      </w:r>
      <w:r>
        <w:rPr>
          <w:rFonts w:hint="eastAsia" w:asciiTheme="minorEastAsia" w:hAnsiTheme="minorEastAsia" w:eastAsiaTheme="minorEastAsia"/>
          <w:color w:val="000000"/>
          <w:sz w:val="24"/>
        </w:rPr>
        <w:fldChar w:fldCharType="end"/>
      </w:r>
    </w:p>
    <w:p>
      <w:pPr>
        <w:snapToGrid w:val="0"/>
        <w:spacing w:line="360" w:lineRule="auto"/>
        <w:ind w:firstLine="480" w:firstLineChars="200"/>
        <w:rPr>
          <w:rFonts w:asciiTheme="minorEastAsia" w:hAnsiTheme="minorEastAsia" w:eastAsiaTheme="minorEastAsia"/>
          <w:color w:val="000000"/>
          <w:sz w:val="24"/>
        </w:rPr>
      </w:pPr>
    </w:p>
    <w:p>
      <w:pPr>
        <w:snapToGrid w:val="0"/>
        <w:spacing w:line="360" w:lineRule="auto"/>
        <w:ind w:firstLine="482" w:firstLineChars="200"/>
        <w:rPr>
          <w:b/>
          <w:sz w:val="24"/>
        </w:rPr>
      </w:pPr>
      <w:r>
        <w:rPr>
          <w:rFonts w:hint="eastAsia"/>
          <w:b/>
          <w:sz w:val="24"/>
        </w:rPr>
        <w:t>专业能力考核及成绩评定办法</w:t>
      </w:r>
    </w:p>
    <w:p>
      <w:pPr>
        <w:snapToGrid w:val="0"/>
        <w:spacing w:line="360" w:lineRule="auto"/>
        <w:ind w:firstLine="480" w:firstLineChars="200"/>
        <w:rPr>
          <w:sz w:val="24"/>
        </w:rPr>
      </w:pPr>
      <w:r>
        <w:rPr>
          <w:rFonts w:hint="eastAsia"/>
          <w:sz w:val="24"/>
        </w:rPr>
        <w:t>专业</w:t>
      </w:r>
      <w:r>
        <w:rPr>
          <w:sz w:val="24"/>
        </w:rPr>
        <w:t>能力考核</w:t>
      </w:r>
      <w:r>
        <w:rPr>
          <w:rFonts w:hint="eastAsia"/>
          <w:sz w:val="24"/>
        </w:rPr>
        <w:t>包括课程</w:t>
      </w:r>
      <w:r>
        <w:rPr>
          <w:sz w:val="24"/>
        </w:rPr>
        <w:t>考核</w:t>
      </w:r>
      <w:r>
        <w:rPr>
          <w:rFonts w:hint="eastAsia"/>
          <w:sz w:val="24"/>
        </w:rPr>
        <w:t>成绩、科研（学术）成果、综合测试考核。电气工程学院负责专业能力考核及成绩评定工作。</w:t>
      </w:r>
    </w:p>
    <w:p>
      <w:pPr>
        <w:numPr>
          <w:ilvl w:val="0"/>
          <w:numId w:val="1"/>
        </w:numPr>
        <w:snapToGrid w:val="0"/>
        <w:spacing w:line="360" w:lineRule="auto"/>
        <w:ind w:left="0" w:firstLine="482" w:firstLineChars="200"/>
        <w:rPr>
          <w:b/>
          <w:sz w:val="24"/>
        </w:rPr>
      </w:pPr>
      <w:r>
        <w:rPr>
          <w:rFonts w:hint="eastAsia"/>
          <w:b/>
          <w:sz w:val="24"/>
        </w:rPr>
        <w:t>课程考核</w:t>
      </w:r>
    </w:p>
    <w:p>
      <w:pPr>
        <w:snapToGrid w:val="0"/>
        <w:spacing w:line="360" w:lineRule="auto"/>
        <w:ind w:firstLine="480" w:firstLineChars="200"/>
        <w:rPr>
          <w:sz w:val="24"/>
        </w:rPr>
      </w:pPr>
      <w:r>
        <w:rPr>
          <w:rFonts w:hint="eastAsia"/>
          <w:sz w:val="24"/>
        </w:rPr>
        <w:t>课程考核由研究生培养方案中学位和非学位课程成绩组成，权重及计算方法如下：</w:t>
      </w:r>
    </w:p>
    <w:p>
      <w:pPr>
        <w:snapToGrid w:val="0"/>
        <w:spacing w:line="360" w:lineRule="auto"/>
        <w:ind w:firstLine="480" w:firstLineChars="200"/>
        <w:rPr>
          <w:sz w:val="24"/>
        </w:rPr>
      </w:pPr>
      <w:r>
        <w:rPr>
          <w:position w:val="-32"/>
          <w:sz w:val="24"/>
        </w:rPr>
        <w:object>
          <v:shape id="_x0000_i1025" o:spt="75" type="#_x0000_t75" style="height:56.4pt;width:356.2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p>
    <w:p>
      <w:pPr>
        <w:snapToGrid w:val="0"/>
        <w:spacing w:line="360" w:lineRule="auto"/>
        <w:ind w:firstLine="480" w:firstLineChars="200"/>
        <w:rPr>
          <w:sz w:val="24"/>
        </w:rPr>
      </w:pPr>
      <w:r>
        <w:rPr>
          <w:rFonts w:hint="eastAsia"/>
          <w:sz w:val="24"/>
        </w:rPr>
        <w:t>注：</w:t>
      </w:r>
      <w:r>
        <w:rPr>
          <w:sz w:val="24"/>
        </w:rPr>
        <w:t>在规定时间内应修完而未修完的课程，以零分参与计算</w:t>
      </w:r>
      <w:r>
        <w:rPr>
          <w:rFonts w:hint="eastAsia"/>
          <w:sz w:val="24"/>
        </w:rPr>
        <w:t>。若成绩</w:t>
      </w:r>
      <w:r>
        <w:rPr>
          <w:sz w:val="24"/>
        </w:rPr>
        <w:t>中有优</w:t>
      </w:r>
      <w:r>
        <w:rPr>
          <w:rFonts w:hint="eastAsia"/>
          <w:sz w:val="24"/>
        </w:rPr>
        <w:t>、</w:t>
      </w:r>
      <w:r>
        <w:rPr>
          <w:sz w:val="24"/>
        </w:rPr>
        <w:t>良、中、及格</w:t>
      </w:r>
      <w:r>
        <w:rPr>
          <w:rFonts w:hint="eastAsia"/>
          <w:sz w:val="24"/>
        </w:rPr>
        <w:t>的</w:t>
      </w:r>
      <w:r>
        <w:rPr>
          <w:sz w:val="24"/>
        </w:rPr>
        <w:t>，</w:t>
      </w:r>
      <w:r>
        <w:rPr>
          <w:rFonts w:hint="eastAsia"/>
          <w:sz w:val="24"/>
        </w:rPr>
        <w:t>按95、85、75、65分别</w:t>
      </w:r>
      <w:r>
        <w:rPr>
          <w:sz w:val="24"/>
        </w:rPr>
        <w:t>计算</w:t>
      </w:r>
      <w:r>
        <w:rPr>
          <w:rFonts w:hint="eastAsia"/>
          <w:sz w:val="24"/>
        </w:rPr>
        <w:t>。</w:t>
      </w:r>
    </w:p>
    <w:p>
      <w:pPr>
        <w:snapToGrid w:val="0"/>
        <w:spacing w:line="360" w:lineRule="auto"/>
        <w:ind w:firstLine="482" w:firstLineChars="200"/>
        <w:rPr>
          <w:b/>
          <w:sz w:val="24"/>
        </w:rPr>
      </w:pPr>
      <w:r>
        <w:rPr>
          <w:rFonts w:hint="eastAsia"/>
          <w:b/>
          <w:sz w:val="24"/>
        </w:rPr>
        <w:t>（</w:t>
      </w:r>
      <w:r>
        <w:rPr>
          <w:b/>
          <w:sz w:val="24"/>
        </w:rPr>
        <w:t>二）</w:t>
      </w:r>
      <w:r>
        <w:rPr>
          <w:rFonts w:hint="eastAsia"/>
          <w:b/>
          <w:sz w:val="24"/>
        </w:rPr>
        <w:t>科研（学术）成果</w:t>
      </w:r>
    </w:p>
    <w:p>
      <w:pPr>
        <w:snapToGrid w:val="0"/>
        <w:spacing w:line="360" w:lineRule="auto"/>
        <w:ind w:firstLine="480" w:firstLineChars="200"/>
        <w:rPr>
          <w:sz w:val="24"/>
        </w:rPr>
      </w:pPr>
      <w:r>
        <w:rPr>
          <w:rFonts w:hint="eastAsia"/>
          <w:sz w:val="24"/>
        </w:rPr>
        <w:t>科研（学术）成果包括：科研（学术）奖励、学术论文（专著）、专利、科研项目、学科竞赛五部分。即：科研（学术）成果成绩=专利计分×15%＋科研（学术）奖励×25%＋学科竞赛×10%＋学术论文（专著）成绩×30%+科研项目×20%。</w:t>
      </w:r>
    </w:p>
    <w:p>
      <w:pPr>
        <w:snapToGrid w:val="0"/>
        <w:spacing w:line="360" w:lineRule="auto"/>
        <w:ind w:firstLine="480" w:firstLineChars="200"/>
        <w:rPr>
          <w:sz w:val="24"/>
        </w:rPr>
      </w:pPr>
      <w:r>
        <w:rPr>
          <w:rFonts w:hint="eastAsia"/>
          <w:sz w:val="24"/>
        </w:rPr>
        <w:t>1、科研（学术）奖励的计分标准（单位：分/项）</w:t>
      </w:r>
    </w:p>
    <w:tbl>
      <w:tblPr>
        <w:tblStyle w:val="7"/>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4"/>
        <w:gridCol w:w="1884"/>
        <w:gridCol w:w="1884"/>
        <w:gridCol w:w="1884"/>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884" w:type="dxa"/>
            <w:vAlign w:val="center"/>
          </w:tcPr>
          <w:p>
            <w:pPr>
              <w:spacing w:line="360" w:lineRule="auto"/>
              <w:ind w:firstLine="480" w:firstLineChars="200"/>
              <w:jc w:val="center"/>
              <w:rPr>
                <w:sz w:val="24"/>
              </w:rPr>
            </w:pPr>
            <w:r>
              <w:rPr>
                <w:sz w:val="24"/>
              </w:rPr>
              <w:pict>
                <v:shape id="_x0000_s1026" o:spid="_x0000_s1026" o:spt="32" type="#_x0000_t32" style="position:absolute;left:0pt;margin-left:-5.7pt;margin-top:0.75pt;height:47.55pt;width:94.35pt;z-index:251659264;mso-width-relative:page;mso-height-relative:page;" o:connectortype="straight" filled="f" coordsize="21600,21600">
                  <v:path arrowok="t"/>
                  <v:fill on="f" focussize="0,0"/>
                  <v:stroke/>
                  <v:imagedata o:title=""/>
                  <o:lock v:ext="edit"/>
                </v:shape>
              </w:pict>
            </w:r>
            <w:r>
              <w:rPr>
                <w:rFonts w:hint="eastAsia"/>
                <w:sz w:val="24"/>
              </w:rPr>
              <w:t>等次</w:t>
            </w:r>
          </w:p>
          <w:p>
            <w:pPr>
              <w:spacing w:line="360" w:lineRule="auto"/>
              <w:ind w:firstLine="120" w:firstLineChars="50"/>
              <w:rPr>
                <w:sz w:val="24"/>
              </w:rPr>
            </w:pPr>
            <w:r>
              <w:rPr>
                <w:rFonts w:hint="eastAsia"/>
                <w:sz w:val="24"/>
              </w:rPr>
              <w:t>级别</w:t>
            </w:r>
          </w:p>
        </w:tc>
        <w:tc>
          <w:tcPr>
            <w:tcW w:w="1884" w:type="dxa"/>
            <w:vAlign w:val="center"/>
          </w:tcPr>
          <w:p>
            <w:pPr>
              <w:spacing w:line="360" w:lineRule="auto"/>
              <w:jc w:val="center"/>
              <w:rPr>
                <w:sz w:val="24"/>
              </w:rPr>
            </w:pPr>
            <w:r>
              <w:rPr>
                <w:rFonts w:hint="eastAsia"/>
                <w:sz w:val="24"/>
              </w:rPr>
              <w:t>一等奖</w:t>
            </w:r>
          </w:p>
        </w:tc>
        <w:tc>
          <w:tcPr>
            <w:tcW w:w="1884" w:type="dxa"/>
            <w:vAlign w:val="center"/>
          </w:tcPr>
          <w:p>
            <w:pPr>
              <w:spacing w:line="360" w:lineRule="auto"/>
              <w:jc w:val="center"/>
              <w:rPr>
                <w:sz w:val="24"/>
              </w:rPr>
            </w:pPr>
            <w:r>
              <w:rPr>
                <w:rFonts w:hint="eastAsia"/>
                <w:sz w:val="24"/>
              </w:rPr>
              <w:t>二等奖</w:t>
            </w:r>
          </w:p>
        </w:tc>
        <w:tc>
          <w:tcPr>
            <w:tcW w:w="1884" w:type="dxa"/>
            <w:vAlign w:val="center"/>
          </w:tcPr>
          <w:p>
            <w:pPr>
              <w:spacing w:line="360" w:lineRule="auto"/>
              <w:jc w:val="center"/>
              <w:rPr>
                <w:sz w:val="24"/>
              </w:rPr>
            </w:pPr>
            <w:r>
              <w:rPr>
                <w:rFonts w:hint="eastAsia"/>
                <w:sz w:val="24"/>
              </w:rPr>
              <w:t>三等奖</w:t>
            </w:r>
          </w:p>
        </w:tc>
        <w:tc>
          <w:tcPr>
            <w:tcW w:w="1796" w:type="dxa"/>
            <w:vAlign w:val="center"/>
          </w:tcPr>
          <w:p>
            <w:pPr>
              <w:spacing w:line="360" w:lineRule="auto"/>
              <w:jc w:val="center"/>
              <w:rPr>
                <w:sz w:val="24"/>
              </w:rPr>
            </w:pPr>
            <w:r>
              <w:rPr>
                <w:rFonts w:hint="eastAsia"/>
                <w:sz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884" w:type="dxa"/>
            <w:vAlign w:val="center"/>
          </w:tcPr>
          <w:p>
            <w:pPr>
              <w:spacing w:line="360" w:lineRule="auto"/>
              <w:jc w:val="center"/>
              <w:rPr>
                <w:sz w:val="24"/>
              </w:rPr>
            </w:pPr>
            <w:r>
              <w:rPr>
                <w:rFonts w:hint="eastAsia"/>
                <w:sz w:val="24"/>
              </w:rPr>
              <w:t>国家级</w:t>
            </w:r>
          </w:p>
        </w:tc>
        <w:tc>
          <w:tcPr>
            <w:tcW w:w="1884" w:type="dxa"/>
            <w:vAlign w:val="center"/>
          </w:tcPr>
          <w:p>
            <w:pPr>
              <w:spacing w:line="360" w:lineRule="auto"/>
              <w:jc w:val="center"/>
              <w:rPr>
                <w:sz w:val="24"/>
              </w:rPr>
            </w:pPr>
            <w:r>
              <w:rPr>
                <w:rFonts w:hint="eastAsia"/>
                <w:sz w:val="24"/>
              </w:rPr>
              <w:t>800</w:t>
            </w:r>
          </w:p>
        </w:tc>
        <w:tc>
          <w:tcPr>
            <w:tcW w:w="1884" w:type="dxa"/>
            <w:vAlign w:val="center"/>
          </w:tcPr>
          <w:p>
            <w:pPr>
              <w:spacing w:line="360" w:lineRule="auto"/>
              <w:jc w:val="center"/>
              <w:rPr>
                <w:sz w:val="24"/>
              </w:rPr>
            </w:pPr>
            <w:r>
              <w:rPr>
                <w:rFonts w:hint="eastAsia"/>
                <w:sz w:val="24"/>
              </w:rPr>
              <w:t>500</w:t>
            </w:r>
          </w:p>
        </w:tc>
        <w:tc>
          <w:tcPr>
            <w:tcW w:w="1884" w:type="dxa"/>
            <w:vAlign w:val="center"/>
          </w:tcPr>
          <w:p>
            <w:pPr>
              <w:spacing w:line="360" w:lineRule="auto"/>
              <w:jc w:val="center"/>
              <w:rPr>
                <w:sz w:val="24"/>
              </w:rPr>
            </w:pPr>
            <w:r>
              <w:rPr>
                <w:rFonts w:hint="eastAsia"/>
                <w:sz w:val="24"/>
              </w:rPr>
              <w:t>300</w:t>
            </w:r>
          </w:p>
        </w:tc>
        <w:tc>
          <w:tcPr>
            <w:tcW w:w="1796" w:type="dxa"/>
            <w:vAlign w:val="center"/>
          </w:tcPr>
          <w:p>
            <w:pPr>
              <w:spacing w:line="360" w:lineRule="auto"/>
              <w:jc w:val="center"/>
              <w:rPr>
                <w:sz w:val="24"/>
              </w:rPr>
            </w:pPr>
            <w:r>
              <w:rPr>
                <w:rFonts w:hint="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884" w:type="dxa"/>
            <w:vAlign w:val="center"/>
          </w:tcPr>
          <w:p>
            <w:pPr>
              <w:spacing w:line="360" w:lineRule="auto"/>
              <w:jc w:val="center"/>
              <w:rPr>
                <w:sz w:val="24"/>
              </w:rPr>
            </w:pPr>
            <w:r>
              <w:rPr>
                <w:rFonts w:hint="eastAsia"/>
                <w:sz w:val="24"/>
              </w:rPr>
              <w:t>省部级</w:t>
            </w:r>
          </w:p>
        </w:tc>
        <w:tc>
          <w:tcPr>
            <w:tcW w:w="1884" w:type="dxa"/>
            <w:vAlign w:val="center"/>
          </w:tcPr>
          <w:p>
            <w:pPr>
              <w:spacing w:line="360" w:lineRule="auto"/>
              <w:jc w:val="center"/>
              <w:rPr>
                <w:sz w:val="24"/>
              </w:rPr>
            </w:pPr>
            <w:r>
              <w:rPr>
                <w:sz w:val="24"/>
              </w:rPr>
              <w:t>3</w:t>
            </w:r>
            <w:r>
              <w:rPr>
                <w:rFonts w:hint="eastAsia"/>
                <w:sz w:val="24"/>
              </w:rPr>
              <w:t>00</w:t>
            </w:r>
          </w:p>
        </w:tc>
        <w:tc>
          <w:tcPr>
            <w:tcW w:w="1884" w:type="dxa"/>
            <w:vAlign w:val="center"/>
          </w:tcPr>
          <w:p>
            <w:pPr>
              <w:spacing w:line="360" w:lineRule="auto"/>
              <w:jc w:val="center"/>
              <w:rPr>
                <w:sz w:val="24"/>
              </w:rPr>
            </w:pPr>
            <w:r>
              <w:rPr>
                <w:rFonts w:hint="eastAsia"/>
                <w:sz w:val="24"/>
              </w:rPr>
              <w:t>100</w:t>
            </w:r>
          </w:p>
        </w:tc>
        <w:tc>
          <w:tcPr>
            <w:tcW w:w="1884" w:type="dxa"/>
            <w:vAlign w:val="center"/>
          </w:tcPr>
          <w:p>
            <w:pPr>
              <w:spacing w:line="360" w:lineRule="auto"/>
              <w:jc w:val="center"/>
              <w:rPr>
                <w:sz w:val="24"/>
              </w:rPr>
            </w:pPr>
            <w:r>
              <w:rPr>
                <w:rFonts w:hint="eastAsia"/>
                <w:sz w:val="24"/>
              </w:rPr>
              <w:t>60</w:t>
            </w:r>
          </w:p>
        </w:tc>
        <w:tc>
          <w:tcPr>
            <w:tcW w:w="1796" w:type="dxa"/>
            <w:vAlign w:val="center"/>
          </w:tcPr>
          <w:p>
            <w:pPr>
              <w:spacing w:line="360" w:lineRule="auto"/>
              <w:jc w:val="center"/>
              <w:rPr>
                <w:sz w:val="24"/>
              </w:rPr>
            </w:pPr>
            <w:r>
              <w:rPr>
                <w:rFonts w:hint="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1884" w:type="dxa"/>
            <w:vAlign w:val="center"/>
          </w:tcPr>
          <w:p>
            <w:pPr>
              <w:spacing w:line="360" w:lineRule="auto"/>
              <w:jc w:val="center"/>
              <w:rPr>
                <w:sz w:val="24"/>
              </w:rPr>
            </w:pPr>
            <w:r>
              <w:rPr>
                <w:rFonts w:hint="eastAsia"/>
                <w:sz w:val="24"/>
              </w:rPr>
              <w:t>市级</w:t>
            </w:r>
          </w:p>
        </w:tc>
        <w:tc>
          <w:tcPr>
            <w:tcW w:w="1884" w:type="dxa"/>
            <w:vAlign w:val="center"/>
          </w:tcPr>
          <w:p>
            <w:pPr>
              <w:spacing w:line="360" w:lineRule="auto"/>
              <w:jc w:val="center"/>
              <w:rPr>
                <w:sz w:val="24"/>
              </w:rPr>
            </w:pPr>
            <w:r>
              <w:rPr>
                <w:rFonts w:hint="eastAsia"/>
                <w:sz w:val="24"/>
              </w:rPr>
              <w:t>60</w:t>
            </w:r>
          </w:p>
        </w:tc>
        <w:tc>
          <w:tcPr>
            <w:tcW w:w="1884" w:type="dxa"/>
            <w:vAlign w:val="center"/>
          </w:tcPr>
          <w:p>
            <w:pPr>
              <w:spacing w:line="360" w:lineRule="auto"/>
              <w:jc w:val="center"/>
              <w:rPr>
                <w:sz w:val="24"/>
              </w:rPr>
            </w:pPr>
            <w:r>
              <w:rPr>
                <w:rFonts w:hint="eastAsia"/>
                <w:sz w:val="24"/>
              </w:rPr>
              <w:t>40</w:t>
            </w:r>
          </w:p>
        </w:tc>
        <w:tc>
          <w:tcPr>
            <w:tcW w:w="1884" w:type="dxa"/>
            <w:vAlign w:val="center"/>
          </w:tcPr>
          <w:p>
            <w:pPr>
              <w:spacing w:line="360" w:lineRule="auto"/>
              <w:jc w:val="center"/>
              <w:rPr>
                <w:sz w:val="24"/>
              </w:rPr>
            </w:pPr>
            <w:r>
              <w:rPr>
                <w:rFonts w:hint="eastAsia"/>
                <w:sz w:val="24"/>
              </w:rPr>
              <w:t>20</w:t>
            </w:r>
          </w:p>
        </w:tc>
        <w:tc>
          <w:tcPr>
            <w:tcW w:w="1796" w:type="dxa"/>
            <w:vAlign w:val="center"/>
          </w:tcPr>
          <w:p>
            <w:pPr>
              <w:spacing w:line="360" w:lineRule="auto"/>
              <w:jc w:val="center"/>
              <w:rPr>
                <w:sz w:val="24"/>
              </w:rPr>
            </w:pPr>
            <w:r>
              <w:rPr>
                <w:rFonts w:hint="eastAsia"/>
                <w:sz w:val="24"/>
              </w:rPr>
              <w:t>5</w:t>
            </w:r>
          </w:p>
        </w:tc>
      </w:tr>
    </w:tbl>
    <w:p>
      <w:pPr>
        <w:snapToGrid w:val="0"/>
        <w:spacing w:line="360" w:lineRule="auto"/>
        <w:ind w:firstLine="480" w:firstLineChars="200"/>
        <w:rPr>
          <w:sz w:val="24"/>
        </w:rPr>
      </w:pPr>
      <w:r>
        <w:rPr>
          <w:rFonts w:hint="eastAsia"/>
          <w:sz w:val="24"/>
        </w:rPr>
        <w:t>2、学术论文计分标准（单位：分/项）</w:t>
      </w:r>
    </w:p>
    <w:tbl>
      <w:tblPr>
        <w:tblStyle w:val="7"/>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3255"/>
        <w:gridCol w:w="2274"/>
        <w:gridCol w:w="2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511" w:type="dxa"/>
            <w:vAlign w:val="center"/>
          </w:tcPr>
          <w:p>
            <w:pPr>
              <w:spacing w:line="360" w:lineRule="auto"/>
              <w:jc w:val="center"/>
              <w:rPr>
                <w:sz w:val="24"/>
              </w:rPr>
            </w:pPr>
            <w:r>
              <w:rPr>
                <w:rFonts w:hint="eastAsia"/>
                <w:sz w:val="24"/>
              </w:rPr>
              <w:t>论文级别</w:t>
            </w:r>
          </w:p>
        </w:tc>
        <w:tc>
          <w:tcPr>
            <w:tcW w:w="5529" w:type="dxa"/>
            <w:gridSpan w:val="2"/>
            <w:vAlign w:val="center"/>
          </w:tcPr>
          <w:p>
            <w:pPr>
              <w:spacing w:line="360" w:lineRule="auto"/>
              <w:jc w:val="center"/>
              <w:rPr>
                <w:sz w:val="24"/>
              </w:rPr>
            </w:pPr>
            <w:r>
              <w:rPr>
                <w:rFonts w:hint="eastAsia"/>
                <w:sz w:val="24"/>
              </w:rPr>
              <w:t>发表论文或被收录刊物级别</w:t>
            </w:r>
          </w:p>
        </w:tc>
        <w:tc>
          <w:tcPr>
            <w:tcW w:w="2218" w:type="dxa"/>
            <w:vAlign w:val="center"/>
          </w:tcPr>
          <w:p>
            <w:pPr>
              <w:spacing w:line="360" w:lineRule="auto"/>
              <w:jc w:val="center"/>
              <w:rPr>
                <w:sz w:val="24"/>
              </w:rPr>
            </w:pPr>
            <w:r>
              <w:rPr>
                <w:rFonts w:hint="eastAsia"/>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511" w:type="dxa"/>
            <w:vAlign w:val="center"/>
          </w:tcPr>
          <w:p>
            <w:pPr>
              <w:spacing w:line="360" w:lineRule="auto"/>
              <w:jc w:val="center"/>
              <w:rPr>
                <w:sz w:val="24"/>
              </w:rPr>
            </w:pPr>
            <w:r>
              <w:rPr>
                <w:rFonts w:hint="eastAsia"/>
                <w:sz w:val="24"/>
              </w:rPr>
              <w:t>专著</w:t>
            </w:r>
          </w:p>
        </w:tc>
        <w:tc>
          <w:tcPr>
            <w:tcW w:w="5529" w:type="dxa"/>
            <w:gridSpan w:val="2"/>
          </w:tcPr>
          <w:p>
            <w:pPr>
              <w:spacing w:line="360" w:lineRule="auto"/>
              <w:rPr>
                <w:sz w:val="24"/>
              </w:rPr>
            </w:pPr>
            <w:r>
              <w:rPr>
                <w:rFonts w:hint="eastAsia"/>
                <w:sz w:val="24"/>
              </w:rPr>
              <w:t>正规出版社出版的与本专业相关的学术专著</w:t>
            </w:r>
          </w:p>
        </w:tc>
        <w:tc>
          <w:tcPr>
            <w:tcW w:w="2218" w:type="dxa"/>
            <w:vAlign w:val="center"/>
          </w:tcPr>
          <w:p>
            <w:pPr>
              <w:spacing w:line="360" w:lineRule="auto"/>
              <w:jc w:val="center"/>
              <w:rPr>
                <w:sz w:val="24"/>
              </w:rPr>
            </w:pPr>
            <w:r>
              <w:rPr>
                <w:rFonts w:hint="eastAsia"/>
                <w:sz w:val="24"/>
              </w:rPr>
              <w:t>100~200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511" w:type="dxa"/>
            <w:vAlign w:val="center"/>
          </w:tcPr>
          <w:p>
            <w:pPr>
              <w:spacing w:line="360" w:lineRule="auto"/>
              <w:jc w:val="center"/>
              <w:rPr>
                <w:sz w:val="24"/>
              </w:rPr>
            </w:pPr>
            <w:r>
              <w:rPr>
                <w:rFonts w:hint="eastAsia"/>
                <w:sz w:val="24"/>
              </w:rPr>
              <w:t>一级</w:t>
            </w:r>
          </w:p>
        </w:tc>
        <w:tc>
          <w:tcPr>
            <w:tcW w:w="5529" w:type="dxa"/>
            <w:gridSpan w:val="2"/>
          </w:tcPr>
          <w:p>
            <w:pPr>
              <w:spacing w:line="360" w:lineRule="auto"/>
              <w:rPr>
                <w:sz w:val="24"/>
              </w:rPr>
            </w:pPr>
            <w:r>
              <w:rPr>
                <w:rFonts w:hint="eastAsia"/>
                <w:sz w:val="24"/>
              </w:rPr>
              <w:t>中科院SCI期刊分区表2区以上</w:t>
            </w:r>
          </w:p>
        </w:tc>
        <w:tc>
          <w:tcPr>
            <w:tcW w:w="2218" w:type="dxa"/>
            <w:vAlign w:val="center"/>
          </w:tcPr>
          <w:p>
            <w:pPr>
              <w:spacing w:line="360" w:lineRule="auto"/>
              <w:jc w:val="center"/>
              <w:rPr>
                <w:sz w:val="24"/>
              </w:rPr>
            </w:pPr>
            <w:r>
              <w:rPr>
                <w:rFonts w:hint="eastAsia"/>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511" w:type="dxa"/>
            <w:vAlign w:val="center"/>
          </w:tcPr>
          <w:p>
            <w:pPr>
              <w:spacing w:line="360" w:lineRule="auto"/>
              <w:jc w:val="center"/>
              <w:rPr>
                <w:sz w:val="24"/>
              </w:rPr>
            </w:pPr>
            <w:r>
              <w:rPr>
                <w:rFonts w:hint="eastAsia"/>
                <w:sz w:val="24"/>
              </w:rPr>
              <w:t>二级</w:t>
            </w:r>
          </w:p>
        </w:tc>
        <w:tc>
          <w:tcPr>
            <w:tcW w:w="5529" w:type="dxa"/>
            <w:gridSpan w:val="2"/>
            <w:vAlign w:val="center"/>
          </w:tcPr>
          <w:p>
            <w:pPr>
              <w:spacing w:line="360" w:lineRule="auto"/>
              <w:rPr>
                <w:sz w:val="24"/>
              </w:rPr>
            </w:pPr>
            <w:r>
              <w:rPr>
                <w:rFonts w:hint="eastAsia"/>
                <w:sz w:val="24"/>
              </w:rPr>
              <w:t>中科院SCI期刊分区表3区</w:t>
            </w:r>
          </w:p>
        </w:tc>
        <w:tc>
          <w:tcPr>
            <w:tcW w:w="2218" w:type="dxa"/>
            <w:vAlign w:val="center"/>
          </w:tcPr>
          <w:p>
            <w:pPr>
              <w:spacing w:line="360" w:lineRule="auto"/>
              <w:jc w:val="center"/>
              <w:rPr>
                <w:sz w:val="24"/>
              </w:rPr>
            </w:pPr>
            <w:r>
              <w:rPr>
                <w:rFonts w:hint="eastAsia"/>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511" w:type="dxa"/>
            <w:vAlign w:val="center"/>
          </w:tcPr>
          <w:p>
            <w:pPr>
              <w:spacing w:line="360" w:lineRule="auto"/>
              <w:jc w:val="center"/>
              <w:rPr>
                <w:sz w:val="24"/>
              </w:rPr>
            </w:pPr>
            <w:r>
              <w:rPr>
                <w:rFonts w:hint="eastAsia"/>
                <w:sz w:val="24"/>
              </w:rPr>
              <w:t>三级</w:t>
            </w:r>
          </w:p>
        </w:tc>
        <w:tc>
          <w:tcPr>
            <w:tcW w:w="5529" w:type="dxa"/>
            <w:gridSpan w:val="2"/>
            <w:vAlign w:val="center"/>
          </w:tcPr>
          <w:p>
            <w:pPr>
              <w:spacing w:line="360" w:lineRule="auto"/>
              <w:rPr>
                <w:sz w:val="24"/>
              </w:rPr>
            </w:pPr>
            <w:r>
              <w:rPr>
                <w:rFonts w:hint="eastAsia"/>
                <w:sz w:val="24"/>
              </w:rPr>
              <w:t>中科院SCI期刊分区表4区、EI源刊</w:t>
            </w:r>
          </w:p>
        </w:tc>
        <w:tc>
          <w:tcPr>
            <w:tcW w:w="2218" w:type="dxa"/>
            <w:vAlign w:val="center"/>
          </w:tcPr>
          <w:p>
            <w:pPr>
              <w:spacing w:line="360" w:lineRule="auto"/>
              <w:jc w:val="center"/>
              <w:rPr>
                <w:sz w:val="24"/>
              </w:rPr>
            </w:pPr>
            <w:r>
              <w:rPr>
                <w:rFonts w:hint="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11" w:type="dxa"/>
            <w:vMerge w:val="restart"/>
            <w:vAlign w:val="center"/>
          </w:tcPr>
          <w:p>
            <w:pPr>
              <w:spacing w:line="360" w:lineRule="auto"/>
              <w:jc w:val="center"/>
              <w:rPr>
                <w:sz w:val="24"/>
              </w:rPr>
            </w:pPr>
            <w:r>
              <w:rPr>
                <w:rFonts w:hint="eastAsia"/>
                <w:sz w:val="24"/>
              </w:rPr>
              <w:t>四级</w:t>
            </w:r>
          </w:p>
        </w:tc>
        <w:tc>
          <w:tcPr>
            <w:tcW w:w="3255" w:type="dxa"/>
            <w:vMerge w:val="restart"/>
            <w:vAlign w:val="center"/>
          </w:tcPr>
          <w:p>
            <w:pPr>
              <w:spacing w:line="360" w:lineRule="auto"/>
              <w:jc w:val="center"/>
              <w:rPr>
                <w:sz w:val="24"/>
              </w:rPr>
            </w:pPr>
            <w:r>
              <w:rPr>
                <w:rFonts w:hint="eastAsia"/>
                <w:sz w:val="24"/>
              </w:rPr>
              <w:t>中文核心期刊</w:t>
            </w:r>
          </w:p>
        </w:tc>
        <w:tc>
          <w:tcPr>
            <w:tcW w:w="2274" w:type="dxa"/>
            <w:vAlign w:val="center"/>
          </w:tcPr>
          <w:p>
            <w:pPr>
              <w:spacing w:line="360" w:lineRule="auto"/>
              <w:jc w:val="center"/>
              <w:rPr>
                <w:sz w:val="24"/>
              </w:rPr>
            </w:pPr>
            <w:r>
              <w:rPr>
                <w:rFonts w:hint="eastAsia"/>
                <w:sz w:val="24"/>
              </w:rPr>
              <w:t>A类</w:t>
            </w:r>
          </w:p>
        </w:tc>
        <w:tc>
          <w:tcPr>
            <w:tcW w:w="2218" w:type="dxa"/>
            <w:vAlign w:val="center"/>
          </w:tcPr>
          <w:p>
            <w:pPr>
              <w:spacing w:line="360" w:lineRule="auto"/>
              <w:jc w:val="center"/>
              <w:rPr>
                <w:sz w:val="24"/>
              </w:rPr>
            </w:pPr>
            <w:r>
              <w:rPr>
                <w:rFonts w:hint="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511" w:type="dxa"/>
            <w:vMerge w:val="continue"/>
            <w:vAlign w:val="center"/>
          </w:tcPr>
          <w:p>
            <w:pPr>
              <w:spacing w:line="360" w:lineRule="auto"/>
              <w:ind w:firstLine="480" w:firstLineChars="200"/>
              <w:jc w:val="center"/>
              <w:rPr>
                <w:sz w:val="24"/>
              </w:rPr>
            </w:pPr>
          </w:p>
        </w:tc>
        <w:tc>
          <w:tcPr>
            <w:tcW w:w="3255" w:type="dxa"/>
            <w:vMerge w:val="continue"/>
            <w:vAlign w:val="center"/>
          </w:tcPr>
          <w:p>
            <w:pPr>
              <w:spacing w:line="360" w:lineRule="auto"/>
              <w:ind w:firstLine="480" w:firstLineChars="200"/>
              <w:jc w:val="center"/>
              <w:rPr>
                <w:sz w:val="24"/>
              </w:rPr>
            </w:pPr>
          </w:p>
        </w:tc>
        <w:tc>
          <w:tcPr>
            <w:tcW w:w="2274" w:type="dxa"/>
            <w:vAlign w:val="center"/>
          </w:tcPr>
          <w:p>
            <w:pPr>
              <w:spacing w:line="360" w:lineRule="auto"/>
              <w:jc w:val="center"/>
              <w:rPr>
                <w:sz w:val="24"/>
              </w:rPr>
            </w:pPr>
            <w:r>
              <w:rPr>
                <w:rFonts w:hint="eastAsia"/>
                <w:sz w:val="24"/>
              </w:rPr>
              <w:t>B类</w:t>
            </w:r>
          </w:p>
        </w:tc>
        <w:tc>
          <w:tcPr>
            <w:tcW w:w="2218" w:type="dxa"/>
            <w:vAlign w:val="center"/>
          </w:tcPr>
          <w:p>
            <w:pPr>
              <w:spacing w:line="360" w:lineRule="auto"/>
              <w:jc w:val="center"/>
              <w:rPr>
                <w:sz w:val="24"/>
              </w:rPr>
            </w:pPr>
            <w:r>
              <w:rPr>
                <w:rFonts w:hint="eastAsia"/>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511" w:type="dxa"/>
            <w:vMerge w:val="continue"/>
            <w:vAlign w:val="center"/>
          </w:tcPr>
          <w:p>
            <w:pPr>
              <w:spacing w:line="360" w:lineRule="auto"/>
              <w:ind w:firstLine="480" w:firstLineChars="200"/>
              <w:jc w:val="center"/>
              <w:rPr>
                <w:sz w:val="24"/>
              </w:rPr>
            </w:pPr>
          </w:p>
        </w:tc>
        <w:tc>
          <w:tcPr>
            <w:tcW w:w="3255" w:type="dxa"/>
            <w:vMerge w:val="continue"/>
            <w:vAlign w:val="center"/>
          </w:tcPr>
          <w:p>
            <w:pPr>
              <w:spacing w:line="360" w:lineRule="auto"/>
              <w:ind w:firstLine="480" w:firstLineChars="200"/>
              <w:jc w:val="center"/>
              <w:rPr>
                <w:sz w:val="24"/>
              </w:rPr>
            </w:pPr>
          </w:p>
        </w:tc>
        <w:tc>
          <w:tcPr>
            <w:tcW w:w="2274" w:type="dxa"/>
            <w:vAlign w:val="center"/>
          </w:tcPr>
          <w:p>
            <w:pPr>
              <w:spacing w:line="360" w:lineRule="auto"/>
              <w:jc w:val="center"/>
              <w:rPr>
                <w:sz w:val="24"/>
              </w:rPr>
            </w:pPr>
            <w:r>
              <w:rPr>
                <w:rFonts w:hint="eastAsia"/>
                <w:sz w:val="24"/>
              </w:rPr>
              <w:t>C类</w:t>
            </w:r>
          </w:p>
        </w:tc>
        <w:tc>
          <w:tcPr>
            <w:tcW w:w="2218" w:type="dxa"/>
            <w:vAlign w:val="center"/>
          </w:tcPr>
          <w:p>
            <w:pPr>
              <w:spacing w:line="360" w:lineRule="auto"/>
              <w:jc w:val="center"/>
              <w:rPr>
                <w:sz w:val="24"/>
              </w:rPr>
            </w:pPr>
            <w:r>
              <w:rPr>
                <w:rFonts w:hint="eastAsia"/>
                <w:sz w:val="24"/>
              </w:rPr>
              <w:t>30</w:t>
            </w:r>
          </w:p>
        </w:tc>
      </w:tr>
    </w:tbl>
    <w:p>
      <w:pPr>
        <w:snapToGrid w:val="0"/>
        <w:spacing w:line="360" w:lineRule="auto"/>
        <w:ind w:firstLine="480" w:firstLineChars="200"/>
        <w:rPr>
          <w:sz w:val="24"/>
        </w:rPr>
      </w:pPr>
      <w:r>
        <w:rPr>
          <w:rFonts w:hint="eastAsia"/>
          <w:sz w:val="24"/>
        </w:rPr>
        <w:t>3、专利授权与受理</w:t>
      </w:r>
      <w:r>
        <w:rPr>
          <w:sz w:val="24"/>
        </w:rPr>
        <w:t>计分标准（</w:t>
      </w:r>
      <w:r>
        <w:rPr>
          <w:rFonts w:hint="eastAsia"/>
          <w:sz w:val="24"/>
        </w:rPr>
        <w:t>单位</w:t>
      </w:r>
      <w:r>
        <w:rPr>
          <w:sz w:val="24"/>
        </w:rPr>
        <w:t>：分</w:t>
      </w:r>
      <w:r>
        <w:rPr>
          <w:rFonts w:hint="eastAsia"/>
          <w:sz w:val="24"/>
        </w:rPr>
        <w:t>/项</w:t>
      </w:r>
      <w:r>
        <w:rPr>
          <w:sz w:val="24"/>
        </w:rPr>
        <w:t>）</w:t>
      </w:r>
    </w:p>
    <w:tbl>
      <w:tblPr>
        <w:tblStyle w:val="7"/>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484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201" w:type="dxa"/>
            <w:gridSpan w:val="2"/>
            <w:vAlign w:val="center"/>
          </w:tcPr>
          <w:p>
            <w:pPr>
              <w:spacing w:line="360" w:lineRule="auto"/>
              <w:jc w:val="center"/>
              <w:rPr>
                <w:sz w:val="24"/>
              </w:rPr>
            </w:pPr>
            <w:r>
              <w:rPr>
                <w:rFonts w:hint="eastAsia"/>
                <w:sz w:val="24"/>
              </w:rPr>
              <w:t>专利</w:t>
            </w:r>
          </w:p>
        </w:tc>
        <w:tc>
          <w:tcPr>
            <w:tcW w:w="1984" w:type="dxa"/>
            <w:vAlign w:val="center"/>
          </w:tcPr>
          <w:p>
            <w:pPr>
              <w:spacing w:line="360" w:lineRule="auto"/>
              <w:jc w:val="center"/>
              <w:rPr>
                <w:sz w:val="24"/>
              </w:rPr>
            </w:pPr>
            <w:r>
              <w:rPr>
                <w:rFonts w:hint="eastAsia"/>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354" w:type="dxa"/>
            <w:vMerge w:val="restart"/>
            <w:vAlign w:val="center"/>
          </w:tcPr>
          <w:p>
            <w:pPr>
              <w:spacing w:line="360" w:lineRule="auto"/>
              <w:jc w:val="center"/>
              <w:rPr>
                <w:sz w:val="24"/>
              </w:rPr>
            </w:pPr>
            <w:r>
              <w:rPr>
                <w:rFonts w:hint="eastAsia"/>
                <w:sz w:val="24"/>
              </w:rPr>
              <w:t>专利授权</w:t>
            </w:r>
          </w:p>
        </w:tc>
        <w:tc>
          <w:tcPr>
            <w:tcW w:w="4847" w:type="dxa"/>
            <w:vAlign w:val="center"/>
          </w:tcPr>
          <w:p>
            <w:pPr>
              <w:spacing w:line="360" w:lineRule="auto"/>
              <w:jc w:val="center"/>
              <w:rPr>
                <w:sz w:val="24"/>
              </w:rPr>
            </w:pPr>
            <w:r>
              <w:rPr>
                <w:sz w:val="24"/>
              </w:rPr>
              <w:t>国家发明</w:t>
            </w:r>
            <w:r>
              <w:rPr>
                <w:rFonts w:hint="eastAsia"/>
                <w:sz w:val="24"/>
              </w:rPr>
              <w:t>专利</w:t>
            </w:r>
          </w:p>
        </w:tc>
        <w:tc>
          <w:tcPr>
            <w:tcW w:w="1984" w:type="dxa"/>
            <w:vAlign w:val="center"/>
          </w:tcPr>
          <w:p>
            <w:pPr>
              <w:spacing w:line="360" w:lineRule="auto"/>
              <w:jc w:val="center"/>
              <w:rPr>
                <w:sz w:val="24"/>
              </w:rPr>
            </w:pPr>
            <w:r>
              <w:rPr>
                <w:rFonts w:hint="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2354" w:type="dxa"/>
            <w:vMerge w:val="continue"/>
            <w:vAlign w:val="center"/>
          </w:tcPr>
          <w:p>
            <w:pPr>
              <w:spacing w:line="360" w:lineRule="auto"/>
              <w:ind w:firstLine="480" w:firstLineChars="200"/>
              <w:jc w:val="center"/>
              <w:rPr>
                <w:sz w:val="24"/>
              </w:rPr>
            </w:pPr>
          </w:p>
        </w:tc>
        <w:tc>
          <w:tcPr>
            <w:tcW w:w="4847" w:type="dxa"/>
            <w:vAlign w:val="center"/>
          </w:tcPr>
          <w:p>
            <w:pPr>
              <w:spacing w:line="360" w:lineRule="auto"/>
              <w:jc w:val="center"/>
              <w:rPr>
                <w:sz w:val="24"/>
              </w:rPr>
            </w:pPr>
            <w:r>
              <w:rPr>
                <w:rFonts w:hint="eastAsia"/>
                <w:sz w:val="24"/>
              </w:rPr>
              <w:t>实用新型</w:t>
            </w:r>
            <w:r>
              <w:rPr>
                <w:sz w:val="24"/>
              </w:rPr>
              <w:t>专利或软件著作权</w:t>
            </w:r>
            <w:r>
              <w:rPr>
                <w:rFonts w:hint="eastAsia"/>
                <w:sz w:val="24"/>
              </w:rPr>
              <w:t>（限三</w:t>
            </w:r>
            <w:r>
              <w:rPr>
                <w:sz w:val="24"/>
              </w:rPr>
              <w:t>项</w:t>
            </w:r>
            <w:r>
              <w:rPr>
                <w:rFonts w:hint="eastAsia"/>
                <w:sz w:val="24"/>
              </w:rPr>
              <w:t>）</w:t>
            </w:r>
          </w:p>
        </w:tc>
        <w:tc>
          <w:tcPr>
            <w:tcW w:w="1984" w:type="dxa"/>
            <w:vAlign w:val="center"/>
          </w:tcPr>
          <w:p>
            <w:pPr>
              <w:spacing w:line="360" w:lineRule="auto"/>
              <w:jc w:val="center"/>
              <w:rPr>
                <w:sz w:val="24"/>
              </w:rPr>
            </w:pPr>
            <w:r>
              <w:rPr>
                <w:rFonts w:hint="eastAsia"/>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2354" w:type="dxa"/>
            <w:vMerge w:val="continue"/>
            <w:vAlign w:val="center"/>
          </w:tcPr>
          <w:p>
            <w:pPr>
              <w:spacing w:line="360" w:lineRule="auto"/>
              <w:ind w:firstLine="480" w:firstLineChars="200"/>
              <w:jc w:val="center"/>
              <w:rPr>
                <w:sz w:val="24"/>
              </w:rPr>
            </w:pPr>
          </w:p>
        </w:tc>
        <w:tc>
          <w:tcPr>
            <w:tcW w:w="4847" w:type="dxa"/>
            <w:vAlign w:val="center"/>
          </w:tcPr>
          <w:p>
            <w:pPr>
              <w:spacing w:line="360" w:lineRule="auto"/>
              <w:jc w:val="center"/>
              <w:rPr>
                <w:sz w:val="24"/>
              </w:rPr>
            </w:pPr>
            <w:r>
              <w:rPr>
                <w:rFonts w:hint="eastAsia"/>
                <w:sz w:val="24"/>
              </w:rPr>
              <w:t>外观设计专利（限</w:t>
            </w:r>
            <w:r>
              <w:rPr>
                <w:sz w:val="24"/>
              </w:rPr>
              <w:t>一项</w:t>
            </w:r>
            <w:r>
              <w:rPr>
                <w:rFonts w:hint="eastAsia"/>
                <w:sz w:val="24"/>
              </w:rPr>
              <w:t>）</w:t>
            </w:r>
          </w:p>
        </w:tc>
        <w:tc>
          <w:tcPr>
            <w:tcW w:w="1984" w:type="dxa"/>
            <w:vAlign w:val="center"/>
          </w:tcPr>
          <w:p>
            <w:pPr>
              <w:spacing w:line="360" w:lineRule="auto"/>
              <w:jc w:val="center"/>
              <w:rPr>
                <w:sz w:val="24"/>
              </w:rPr>
            </w:pPr>
            <w:r>
              <w:rPr>
                <w:rFonts w:hint="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354" w:type="dxa"/>
            <w:vAlign w:val="center"/>
          </w:tcPr>
          <w:p>
            <w:pPr>
              <w:spacing w:line="360" w:lineRule="auto"/>
              <w:jc w:val="center"/>
              <w:rPr>
                <w:sz w:val="24"/>
              </w:rPr>
            </w:pPr>
            <w:r>
              <w:rPr>
                <w:rFonts w:hint="eastAsia"/>
                <w:sz w:val="24"/>
              </w:rPr>
              <w:t>受理</w:t>
            </w:r>
          </w:p>
        </w:tc>
        <w:tc>
          <w:tcPr>
            <w:tcW w:w="4847" w:type="dxa"/>
            <w:vAlign w:val="center"/>
          </w:tcPr>
          <w:p>
            <w:pPr>
              <w:spacing w:line="360" w:lineRule="auto"/>
              <w:jc w:val="center"/>
              <w:rPr>
                <w:sz w:val="24"/>
              </w:rPr>
            </w:pPr>
            <w:r>
              <w:rPr>
                <w:sz w:val="24"/>
              </w:rPr>
              <w:t>国家发明</w:t>
            </w:r>
            <w:r>
              <w:rPr>
                <w:rFonts w:hint="eastAsia"/>
                <w:sz w:val="24"/>
              </w:rPr>
              <w:t>专利</w:t>
            </w:r>
          </w:p>
        </w:tc>
        <w:tc>
          <w:tcPr>
            <w:tcW w:w="1984" w:type="dxa"/>
            <w:vAlign w:val="center"/>
          </w:tcPr>
          <w:p>
            <w:pPr>
              <w:spacing w:line="360" w:lineRule="auto"/>
              <w:jc w:val="center"/>
              <w:rPr>
                <w:sz w:val="24"/>
              </w:rPr>
            </w:pPr>
            <w:r>
              <w:rPr>
                <w:rFonts w:hint="eastAsia"/>
                <w:sz w:val="24"/>
              </w:rPr>
              <w:t>20</w:t>
            </w:r>
          </w:p>
        </w:tc>
      </w:tr>
    </w:tbl>
    <w:p>
      <w:pPr>
        <w:snapToGrid w:val="0"/>
        <w:spacing w:line="360" w:lineRule="auto"/>
        <w:ind w:firstLine="480" w:firstLineChars="200"/>
        <w:rPr>
          <w:sz w:val="24"/>
        </w:rPr>
      </w:pPr>
      <w:r>
        <w:rPr>
          <w:rFonts w:hint="eastAsia"/>
          <w:sz w:val="24"/>
        </w:rPr>
        <w:t>4、科研项目</w:t>
      </w:r>
      <w:r>
        <w:rPr>
          <w:sz w:val="24"/>
        </w:rPr>
        <w:t>计分标准（</w:t>
      </w:r>
      <w:r>
        <w:rPr>
          <w:rFonts w:hint="eastAsia"/>
          <w:sz w:val="24"/>
        </w:rPr>
        <w:t>单位</w:t>
      </w:r>
      <w:r>
        <w:rPr>
          <w:sz w:val="24"/>
        </w:rPr>
        <w:t>：分</w:t>
      </w:r>
      <w:r>
        <w:rPr>
          <w:rFonts w:hint="eastAsia"/>
          <w:sz w:val="24"/>
        </w:rPr>
        <w:t>/项</w:t>
      </w:r>
      <w:r>
        <w:rPr>
          <w:sz w:val="24"/>
        </w:rPr>
        <w:t>）</w:t>
      </w:r>
    </w:p>
    <w:tbl>
      <w:tblPr>
        <w:tblStyle w:val="7"/>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0"/>
        <w:gridCol w:w="2272"/>
        <w:gridCol w:w="4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690" w:type="dxa"/>
            <w:vAlign w:val="center"/>
          </w:tcPr>
          <w:p>
            <w:pPr>
              <w:spacing w:line="360" w:lineRule="auto"/>
              <w:jc w:val="center"/>
              <w:rPr>
                <w:sz w:val="24"/>
              </w:rPr>
            </w:pPr>
            <w:r>
              <w:rPr>
                <w:rFonts w:hint="eastAsia"/>
                <w:sz w:val="24"/>
              </w:rPr>
              <w:t>科研项目</w:t>
            </w:r>
            <w:r>
              <w:rPr>
                <w:sz w:val="24"/>
              </w:rPr>
              <w:t>级别</w:t>
            </w:r>
          </w:p>
        </w:tc>
        <w:tc>
          <w:tcPr>
            <w:tcW w:w="2272" w:type="dxa"/>
            <w:vAlign w:val="center"/>
          </w:tcPr>
          <w:p>
            <w:pPr>
              <w:spacing w:line="360" w:lineRule="auto"/>
              <w:jc w:val="center"/>
              <w:rPr>
                <w:sz w:val="24"/>
              </w:rPr>
            </w:pPr>
            <w:r>
              <w:rPr>
                <w:rFonts w:hint="eastAsia"/>
                <w:sz w:val="24"/>
              </w:rPr>
              <w:t>主持分值</w:t>
            </w:r>
          </w:p>
        </w:tc>
        <w:tc>
          <w:tcPr>
            <w:tcW w:w="4233" w:type="dxa"/>
            <w:vAlign w:val="center"/>
          </w:tcPr>
          <w:p>
            <w:pPr>
              <w:spacing w:line="360" w:lineRule="auto"/>
              <w:jc w:val="center"/>
              <w:rPr>
                <w:sz w:val="24"/>
              </w:rPr>
            </w:pPr>
            <w:r>
              <w:rPr>
                <w:rFonts w:hint="eastAsia"/>
                <w:sz w:val="24"/>
              </w:rPr>
              <w:t>参与分值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690" w:type="dxa"/>
            <w:vAlign w:val="center"/>
          </w:tcPr>
          <w:p>
            <w:pPr>
              <w:spacing w:line="360" w:lineRule="auto"/>
              <w:jc w:val="center"/>
              <w:rPr>
                <w:sz w:val="24"/>
              </w:rPr>
            </w:pPr>
            <w:r>
              <w:rPr>
                <w:rFonts w:hint="eastAsia"/>
                <w:sz w:val="24"/>
              </w:rPr>
              <w:t>国家级</w:t>
            </w:r>
          </w:p>
        </w:tc>
        <w:tc>
          <w:tcPr>
            <w:tcW w:w="2272" w:type="dxa"/>
            <w:vAlign w:val="center"/>
          </w:tcPr>
          <w:p>
            <w:pPr>
              <w:spacing w:line="360" w:lineRule="auto"/>
              <w:jc w:val="center"/>
              <w:rPr>
                <w:sz w:val="24"/>
              </w:rPr>
            </w:pPr>
            <w:r>
              <w:rPr>
                <w:rFonts w:hint="eastAsia"/>
                <w:sz w:val="24"/>
              </w:rPr>
              <w:t>200</w:t>
            </w:r>
          </w:p>
        </w:tc>
        <w:tc>
          <w:tcPr>
            <w:tcW w:w="4233" w:type="dxa"/>
            <w:vAlign w:val="center"/>
          </w:tcPr>
          <w:p>
            <w:pPr>
              <w:spacing w:line="360" w:lineRule="auto"/>
              <w:jc w:val="center"/>
              <w:rPr>
                <w:sz w:val="24"/>
              </w:rPr>
            </w:pPr>
            <w:r>
              <w:rPr>
                <w:rFonts w:hint="eastAsia"/>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690" w:type="dxa"/>
            <w:vAlign w:val="center"/>
          </w:tcPr>
          <w:p>
            <w:pPr>
              <w:spacing w:line="360" w:lineRule="auto"/>
              <w:jc w:val="center"/>
              <w:rPr>
                <w:sz w:val="24"/>
              </w:rPr>
            </w:pPr>
            <w:r>
              <w:rPr>
                <w:rFonts w:hint="eastAsia"/>
                <w:sz w:val="24"/>
              </w:rPr>
              <w:t>省部级</w:t>
            </w:r>
          </w:p>
        </w:tc>
        <w:tc>
          <w:tcPr>
            <w:tcW w:w="2272" w:type="dxa"/>
            <w:vAlign w:val="center"/>
          </w:tcPr>
          <w:p>
            <w:pPr>
              <w:spacing w:line="360" w:lineRule="auto"/>
              <w:jc w:val="center"/>
              <w:rPr>
                <w:sz w:val="24"/>
              </w:rPr>
            </w:pPr>
            <w:r>
              <w:rPr>
                <w:rFonts w:hint="eastAsia"/>
                <w:sz w:val="24"/>
              </w:rPr>
              <w:t>80</w:t>
            </w:r>
          </w:p>
        </w:tc>
        <w:tc>
          <w:tcPr>
            <w:tcW w:w="4233" w:type="dxa"/>
            <w:vAlign w:val="center"/>
          </w:tcPr>
          <w:p>
            <w:pPr>
              <w:spacing w:line="360" w:lineRule="auto"/>
              <w:jc w:val="center"/>
              <w:rPr>
                <w:sz w:val="24"/>
              </w:rPr>
            </w:pPr>
            <w:r>
              <w:rPr>
                <w:rFonts w:hint="eastAsia"/>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690" w:type="dxa"/>
            <w:vAlign w:val="center"/>
          </w:tcPr>
          <w:p>
            <w:pPr>
              <w:spacing w:line="360" w:lineRule="auto"/>
              <w:jc w:val="center"/>
              <w:rPr>
                <w:sz w:val="24"/>
              </w:rPr>
            </w:pPr>
            <w:r>
              <w:rPr>
                <w:rFonts w:hint="eastAsia"/>
                <w:sz w:val="24"/>
              </w:rPr>
              <w:t>市（校）级</w:t>
            </w:r>
          </w:p>
        </w:tc>
        <w:tc>
          <w:tcPr>
            <w:tcW w:w="2272" w:type="dxa"/>
            <w:vAlign w:val="center"/>
          </w:tcPr>
          <w:p>
            <w:pPr>
              <w:spacing w:line="360" w:lineRule="auto"/>
              <w:jc w:val="center"/>
              <w:rPr>
                <w:sz w:val="24"/>
              </w:rPr>
            </w:pPr>
            <w:r>
              <w:rPr>
                <w:rFonts w:hint="eastAsia"/>
                <w:sz w:val="24"/>
              </w:rPr>
              <w:t>40</w:t>
            </w:r>
          </w:p>
        </w:tc>
        <w:tc>
          <w:tcPr>
            <w:tcW w:w="4233" w:type="dxa"/>
            <w:vAlign w:val="center"/>
          </w:tcPr>
          <w:p>
            <w:pPr>
              <w:spacing w:line="360" w:lineRule="auto"/>
              <w:jc w:val="center"/>
              <w:rPr>
                <w:sz w:val="24"/>
              </w:rPr>
            </w:pPr>
            <w:r>
              <w:rPr>
                <w:rFonts w:hint="eastAsia"/>
                <w:sz w:val="24"/>
              </w:rPr>
              <w:t>2</w:t>
            </w:r>
          </w:p>
        </w:tc>
      </w:tr>
    </w:tbl>
    <w:p>
      <w:pPr>
        <w:snapToGrid w:val="0"/>
        <w:spacing w:line="360" w:lineRule="auto"/>
        <w:ind w:firstLine="480" w:firstLineChars="200"/>
        <w:rPr>
          <w:sz w:val="24"/>
        </w:rPr>
      </w:pPr>
      <w:r>
        <w:rPr>
          <w:rFonts w:hint="eastAsia"/>
          <w:sz w:val="24"/>
        </w:rPr>
        <w:t>5、学科竞赛计分标准</w:t>
      </w:r>
      <w:r>
        <w:rPr>
          <w:sz w:val="24"/>
        </w:rPr>
        <w:t>（</w:t>
      </w:r>
      <w:r>
        <w:rPr>
          <w:rFonts w:hint="eastAsia"/>
          <w:sz w:val="24"/>
        </w:rPr>
        <w:t>单位</w:t>
      </w:r>
      <w:r>
        <w:rPr>
          <w:sz w:val="24"/>
        </w:rPr>
        <w:t>：分</w:t>
      </w:r>
      <w:r>
        <w:rPr>
          <w:rFonts w:hint="eastAsia"/>
          <w:sz w:val="24"/>
        </w:rPr>
        <w:t>/项</w:t>
      </w:r>
      <w:r>
        <w:rPr>
          <w:sz w:val="24"/>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845"/>
        <w:gridCol w:w="1845"/>
        <w:gridCol w:w="184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847" w:type="dxa"/>
            <w:vAlign w:val="center"/>
          </w:tcPr>
          <w:p>
            <w:pPr>
              <w:spacing w:line="360" w:lineRule="auto"/>
              <w:ind w:firstLine="480" w:firstLineChars="200"/>
              <w:jc w:val="center"/>
              <w:rPr>
                <w:sz w:val="24"/>
              </w:rPr>
            </w:pPr>
            <w:r>
              <w:rPr>
                <w:sz w:val="24"/>
              </w:rPr>
              <w:pict>
                <v:shape id="_x0000_s1027" o:spid="_x0000_s1027" o:spt="32" type="#_x0000_t32" style="position:absolute;left:0pt;margin-left:-4.45pt;margin-top:-0.7pt;height:52.35pt;width:91.7pt;z-index:251660288;mso-width-relative:page;mso-height-relative:page;" o:connectortype="straight" filled="f" coordsize="21600,21600">
                  <v:path arrowok="t"/>
                  <v:fill on="f" focussize="0,0"/>
                  <v:stroke/>
                  <v:imagedata o:title=""/>
                  <o:lock v:ext="edit"/>
                </v:shape>
              </w:pict>
            </w:r>
            <w:r>
              <w:rPr>
                <w:rFonts w:hint="eastAsia"/>
                <w:sz w:val="24"/>
              </w:rPr>
              <w:t>等次</w:t>
            </w:r>
          </w:p>
          <w:p>
            <w:pPr>
              <w:spacing w:line="360" w:lineRule="auto"/>
              <w:ind w:firstLine="120" w:firstLineChars="50"/>
              <w:rPr>
                <w:sz w:val="24"/>
              </w:rPr>
            </w:pPr>
            <w:r>
              <w:rPr>
                <w:rFonts w:hint="eastAsia"/>
                <w:sz w:val="24"/>
              </w:rPr>
              <w:t>级别</w:t>
            </w:r>
          </w:p>
        </w:tc>
        <w:tc>
          <w:tcPr>
            <w:tcW w:w="1845" w:type="dxa"/>
            <w:vAlign w:val="center"/>
          </w:tcPr>
          <w:p>
            <w:pPr>
              <w:spacing w:line="360" w:lineRule="auto"/>
              <w:jc w:val="center"/>
              <w:rPr>
                <w:sz w:val="24"/>
              </w:rPr>
            </w:pPr>
            <w:r>
              <w:rPr>
                <w:rFonts w:hint="eastAsia"/>
                <w:sz w:val="24"/>
              </w:rPr>
              <w:t>一等奖</w:t>
            </w:r>
          </w:p>
        </w:tc>
        <w:tc>
          <w:tcPr>
            <w:tcW w:w="1845" w:type="dxa"/>
            <w:vAlign w:val="center"/>
          </w:tcPr>
          <w:p>
            <w:pPr>
              <w:spacing w:line="360" w:lineRule="auto"/>
              <w:jc w:val="center"/>
              <w:rPr>
                <w:sz w:val="24"/>
              </w:rPr>
            </w:pPr>
            <w:r>
              <w:rPr>
                <w:rFonts w:hint="eastAsia"/>
                <w:sz w:val="24"/>
              </w:rPr>
              <w:t>二等奖</w:t>
            </w:r>
          </w:p>
        </w:tc>
        <w:tc>
          <w:tcPr>
            <w:tcW w:w="1845" w:type="dxa"/>
            <w:vAlign w:val="center"/>
          </w:tcPr>
          <w:p>
            <w:pPr>
              <w:spacing w:line="360" w:lineRule="auto"/>
              <w:jc w:val="center"/>
              <w:rPr>
                <w:sz w:val="24"/>
              </w:rPr>
            </w:pPr>
            <w:r>
              <w:rPr>
                <w:rFonts w:hint="eastAsia"/>
                <w:sz w:val="24"/>
              </w:rPr>
              <w:t>三等奖</w:t>
            </w:r>
          </w:p>
        </w:tc>
        <w:tc>
          <w:tcPr>
            <w:tcW w:w="1845" w:type="dxa"/>
            <w:vAlign w:val="center"/>
          </w:tcPr>
          <w:p>
            <w:pPr>
              <w:spacing w:line="360" w:lineRule="auto"/>
              <w:jc w:val="center"/>
              <w:rPr>
                <w:sz w:val="24"/>
              </w:rPr>
            </w:pPr>
            <w:r>
              <w:rPr>
                <w:rFonts w:hint="eastAsia"/>
                <w:sz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47" w:type="dxa"/>
            <w:vAlign w:val="center"/>
          </w:tcPr>
          <w:p>
            <w:pPr>
              <w:spacing w:line="360" w:lineRule="auto"/>
              <w:jc w:val="center"/>
              <w:rPr>
                <w:sz w:val="24"/>
              </w:rPr>
            </w:pPr>
            <w:r>
              <w:rPr>
                <w:rFonts w:hint="eastAsia"/>
                <w:sz w:val="24"/>
              </w:rPr>
              <w:t>国家级</w:t>
            </w:r>
          </w:p>
        </w:tc>
        <w:tc>
          <w:tcPr>
            <w:tcW w:w="1845" w:type="dxa"/>
            <w:vAlign w:val="center"/>
          </w:tcPr>
          <w:p>
            <w:pPr>
              <w:spacing w:line="360" w:lineRule="auto"/>
              <w:jc w:val="center"/>
              <w:rPr>
                <w:sz w:val="24"/>
              </w:rPr>
            </w:pPr>
            <w:r>
              <w:rPr>
                <w:rFonts w:hint="eastAsia"/>
                <w:sz w:val="24"/>
              </w:rPr>
              <w:t>60</w:t>
            </w:r>
          </w:p>
        </w:tc>
        <w:tc>
          <w:tcPr>
            <w:tcW w:w="1845" w:type="dxa"/>
            <w:vAlign w:val="center"/>
          </w:tcPr>
          <w:p>
            <w:pPr>
              <w:spacing w:line="360" w:lineRule="auto"/>
              <w:jc w:val="center"/>
              <w:rPr>
                <w:sz w:val="24"/>
              </w:rPr>
            </w:pPr>
            <w:r>
              <w:rPr>
                <w:rFonts w:hint="eastAsia"/>
                <w:sz w:val="24"/>
              </w:rPr>
              <w:t>40</w:t>
            </w:r>
          </w:p>
        </w:tc>
        <w:tc>
          <w:tcPr>
            <w:tcW w:w="1845" w:type="dxa"/>
            <w:vAlign w:val="center"/>
          </w:tcPr>
          <w:p>
            <w:pPr>
              <w:spacing w:line="360" w:lineRule="auto"/>
              <w:jc w:val="center"/>
              <w:rPr>
                <w:sz w:val="24"/>
              </w:rPr>
            </w:pPr>
            <w:r>
              <w:rPr>
                <w:rFonts w:hint="eastAsia"/>
                <w:sz w:val="24"/>
              </w:rPr>
              <w:t>20</w:t>
            </w:r>
          </w:p>
        </w:tc>
        <w:tc>
          <w:tcPr>
            <w:tcW w:w="1845" w:type="dxa"/>
            <w:vAlign w:val="center"/>
          </w:tcPr>
          <w:p>
            <w:pPr>
              <w:spacing w:line="360" w:lineRule="auto"/>
              <w:jc w:val="center"/>
              <w:rPr>
                <w:sz w:val="24"/>
              </w:rPr>
            </w:pPr>
            <w:r>
              <w:rPr>
                <w:rFonts w:hint="eastAsia"/>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47" w:type="dxa"/>
            <w:vAlign w:val="center"/>
          </w:tcPr>
          <w:p>
            <w:pPr>
              <w:spacing w:line="360" w:lineRule="auto"/>
              <w:jc w:val="center"/>
              <w:rPr>
                <w:sz w:val="24"/>
              </w:rPr>
            </w:pPr>
            <w:r>
              <w:rPr>
                <w:rFonts w:hint="eastAsia"/>
                <w:sz w:val="24"/>
              </w:rPr>
              <w:t>省部级</w:t>
            </w:r>
          </w:p>
        </w:tc>
        <w:tc>
          <w:tcPr>
            <w:tcW w:w="1845" w:type="dxa"/>
            <w:vAlign w:val="center"/>
          </w:tcPr>
          <w:p>
            <w:pPr>
              <w:spacing w:line="360" w:lineRule="auto"/>
              <w:jc w:val="center"/>
              <w:rPr>
                <w:sz w:val="24"/>
              </w:rPr>
            </w:pPr>
            <w:r>
              <w:rPr>
                <w:rFonts w:hint="eastAsia"/>
                <w:sz w:val="24"/>
              </w:rPr>
              <w:t>30</w:t>
            </w:r>
          </w:p>
        </w:tc>
        <w:tc>
          <w:tcPr>
            <w:tcW w:w="1845" w:type="dxa"/>
            <w:vAlign w:val="center"/>
          </w:tcPr>
          <w:p>
            <w:pPr>
              <w:spacing w:line="360" w:lineRule="auto"/>
              <w:jc w:val="center"/>
              <w:rPr>
                <w:sz w:val="24"/>
              </w:rPr>
            </w:pPr>
            <w:r>
              <w:rPr>
                <w:rFonts w:hint="eastAsia"/>
                <w:sz w:val="24"/>
              </w:rPr>
              <w:t>15</w:t>
            </w:r>
          </w:p>
        </w:tc>
        <w:tc>
          <w:tcPr>
            <w:tcW w:w="1845" w:type="dxa"/>
            <w:vAlign w:val="center"/>
          </w:tcPr>
          <w:p>
            <w:pPr>
              <w:spacing w:line="360" w:lineRule="auto"/>
              <w:jc w:val="center"/>
              <w:rPr>
                <w:sz w:val="24"/>
              </w:rPr>
            </w:pPr>
            <w:r>
              <w:rPr>
                <w:rFonts w:hint="eastAsia"/>
                <w:sz w:val="24"/>
              </w:rPr>
              <w:t>8</w:t>
            </w:r>
          </w:p>
        </w:tc>
        <w:tc>
          <w:tcPr>
            <w:tcW w:w="1845" w:type="dxa"/>
            <w:vAlign w:val="center"/>
          </w:tcPr>
          <w:p>
            <w:pPr>
              <w:spacing w:line="360" w:lineRule="auto"/>
              <w:jc w:val="center"/>
              <w:rPr>
                <w:sz w:val="24"/>
              </w:rPr>
            </w:pPr>
            <w:r>
              <w:rPr>
                <w:rFonts w:hint="eastAsia"/>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47" w:type="dxa"/>
            <w:vAlign w:val="center"/>
          </w:tcPr>
          <w:p>
            <w:pPr>
              <w:spacing w:line="360" w:lineRule="auto"/>
              <w:jc w:val="center"/>
              <w:rPr>
                <w:sz w:val="24"/>
              </w:rPr>
            </w:pPr>
            <w:r>
              <w:rPr>
                <w:rFonts w:hint="eastAsia"/>
                <w:sz w:val="24"/>
              </w:rPr>
              <w:t>市(校)级</w:t>
            </w:r>
          </w:p>
        </w:tc>
        <w:tc>
          <w:tcPr>
            <w:tcW w:w="1845" w:type="dxa"/>
            <w:vAlign w:val="center"/>
          </w:tcPr>
          <w:p>
            <w:pPr>
              <w:spacing w:line="360" w:lineRule="auto"/>
              <w:jc w:val="center"/>
              <w:rPr>
                <w:sz w:val="24"/>
              </w:rPr>
            </w:pPr>
            <w:r>
              <w:rPr>
                <w:rFonts w:hint="eastAsia"/>
                <w:sz w:val="24"/>
              </w:rPr>
              <w:t>10</w:t>
            </w:r>
          </w:p>
        </w:tc>
        <w:tc>
          <w:tcPr>
            <w:tcW w:w="1845" w:type="dxa"/>
            <w:vAlign w:val="center"/>
          </w:tcPr>
          <w:p>
            <w:pPr>
              <w:spacing w:line="360" w:lineRule="auto"/>
              <w:jc w:val="center"/>
              <w:rPr>
                <w:sz w:val="24"/>
              </w:rPr>
            </w:pPr>
            <w:r>
              <w:rPr>
                <w:rFonts w:hint="eastAsia"/>
                <w:sz w:val="24"/>
              </w:rPr>
              <w:t>5</w:t>
            </w:r>
          </w:p>
        </w:tc>
        <w:tc>
          <w:tcPr>
            <w:tcW w:w="1845" w:type="dxa"/>
            <w:vAlign w:val="center"/>
          </w:tcPr>
          <w:p>
            <w:pPr>
              <w:spacing w:line="360" w:lineRule="auto"/>
              <w:jc w:val="center"/>
              <w:rPr>
                <w:sz w:val="24"/>
              </w:rPr>
            </w:pPr>
            <w:r>
              <w:rPr>
                <w:rFonts w:hint="eastAsia"/>
                <w:sz w:val="24"/>
              </w:rPr>
              <w:t>2</w:t>
            </w:r>
          </w:p>
        </w:tc>
        <w:tc>
          <w:tcPr>
            <w:tcW w:w="1845" w:type="dxa"/>
            <w:vAlign w:val="center"/>
          </w:tcPr>
          <w:p>
            <w:pPr>
              <w:spacing w:line="360" w:lineRule="auto"/>
              <w:jc w:val="center"/>
              <w:rPr>
                <w:sz w:val="24"/>
              </w:rPr>
            </w:pPr>
            <w:r>
              <w:rPr>
                <w:rFonts w:hint="eastAsia"/>
                <w:sz w:val="24"/>
              </w:rPr>
              <w:t>1</w:t>
            </w:r>
          </w:p>
        </w:tc>
      </w:tr>
    </w:tbl>
    <w:p>
      <w:pPr>
        <w:snapToGrid w:val="0"/>
        <w:spacing w:line="360" w:lineRule="auto"/>
        <w:ind w:firstLine="480" w:firstLineChars="200"/>
        <w:rPr>
          <w:sz w:val="24"/>
        </w:rPr>
      </w:pPr>
      <w:r>
        <w:rPr>
          <w:rFonts w:hint="eastAsia"/>
          <w:sz w:val="24"/>
        </w:rPr>
        <w:t>注：</w:t>
      </w:r>
    </w:p>
    <w:p>
      <w:pPr>
        <w:snapToGrid w:val="0"/>
        <w:spacing w:line="360" w:lineRule="auto"/>
        <w:ind w:firstLine="480" w:firstLineChars="200"/>
        <w:rPr>
          <w:sz w:val="24"/>
        </w:rPr>
      </w:pPr>
      <w:r>
        <w:rPr>
          <w:rFonts w:hint="eastAsia"/>
          <w:sz w:val="24"/>
        </w:rPr>
        <w:t>（1</w:t>
      </w:r>
      <w:r>
        <w:rPr>
          <w:sz w:val="24"/>
        </w:rPr>
        <w:t>）</w:t>
      </w:r>
      <w:r>
        <w:rPr>
          <w:rFonts w:hint="eastAsia"/>
          <w:sz w:val="24"/>
        </w:rPr>
        <w:t>专利最多</w:t>
      </w:r>
      <w:r>
        <w:rPr>
          <w:sz w:val="24"/>
        </w:rPr>
        <w:t>计算</w:t>
      </w:r>
      <w:r>
        <w:rPr>
          <w:rFonts w:hint="eastAsia"/>
          <w:sz w:val="24"/>
        </w:rPr>
        <w:t>5项，相同内容多项类别的</w:t>
      </w:r>
      <w:r>
        <w:rPr>
          <w:sz w:val="24"/>
        </w:rPr>
        <w:t>专利只按最高分计算一次；</w:t>
      </w:r>
      <w:r>
        <w:rPr>
          <w:rFonts w:hint="eastAsia"/>
          <w:sz w:val="24"/>
        </w:rPr>
        <w:t>学科竞赛最多计算3项；</w:t>
      </w:r>
    </w:p>
    <w:p>
      <w:pPr>
        <w:snapToGrid w:val="0"/>
        <w:spacing w:line="360" w:lineRule="auto"/>
        <w:ind w:firstLine="480" w:firstLineChars="200"/>
        <w:rPr>
          <w:sz w:val="24"/>
        </w:rPr>
      </w:pPr>
      <w:r>
        <w:rPr>
          <w:rFonts w:hint="eastAsia"/>
          <w:sz w:val="24"/>
        </w:rPr>
        <w:t>（2）学术论文、专利计分规则为：</w:t>
      </w:r>
    </w:p>
    <w:p>
      <w:pPr>
        <w:snapToGrid w:val="0"/>
        <w:spacing w:line="360" w:lineRule="auto"/>
        <w:ind w:firstLine="480" w:firstLineChars="200"/>
        <w:rPr>
          <w:sz w:val="24"/>
        </w:rPr>
      </w:pPr>
      <w:r>
        <w:rPr>
          <w:sz w:val="24"/>
        </w:rPr>
        <w:t>A</w:t>
      </w:r>
      <w:r>
        <w:rPr>
          <w:rFonts w:hint="eastAsia"/>
          <w:sz w:val="24"/>
        </w:rPr>
        <w:t>．论文及专利除导师以外，其余作者分别按第一作者分值的1，1/2，1/3，1/4，1/5</w:t>
      </w:r>
      <w:r>
        <w:rPr>
          <w:sz w:val="24"/>
        </w:rPr>
        <w:t xml:space="preserve"> ...... </w:t>
      </w:r>
      <w:r>
        <w:rPr>
          <w:rFonts w:hint="eastAsia"/>
          <w:sz w:val="24"/>
        </w:rPr>
        <w:t>计算加分；导师作为第一作者的，需由该导师出具各学生在论文中的工作量比例，根据工作量计算学生分值，计分规则为：工作量为50%以上（含50%）按第一作者计分，工作量为30%—49%，按第二作者计分，工作量低于30%按第三作者计分。</w:t>
      </w:r>
    </w:p>
    <w:p>
      <w:pPr>
        <w:snapToGrid w:val="0"/>
        <w:spacing w:line="360" w:lineRule="auto"/>
        <w:ind w:firstLine="480" w:firstLineChars="200"/>
        <w:rPr>
          <w:sz w:val="24"/>
        </w:rPr>
      </w:pPr>
      <w:r>
        <w:rPr>
          <w:sz w:val="24"/>
        </w:rPr>
        <w:t>B</w:t>
      </w:r>
      <w:r>
        <w:rPr>
          <w:rFonts w:hint="eastAsia"/>
          <w:sz w:val="24"/>
        </w:rPr>
        <w:t>．学生作为第一作者的，若其余作者与第一作者为同一团队的可加分，分值分别按第一作者分值的1/2，1/3，1/4，1/5</w:t>
      </w:r>
      <w:r>
        <w:rPr>
          <w:sz w:val="24"/>
        </w:rPr>
        <w:t xml:space="preserve"> ......</w:t>
      </w:r>
      <w:r>
        <w:rPr>
          <w:rFonts w:hint="eastAsia"/>
          <w:sz w:val="24"/>
        </w:rPr>
        <w:t>计算。</w:t>
      </w:r>
    </w:p>
    <w:p>
      <w:pPr>
        <w:snapToGrid w:val="0"/>
        <w:spacing w:line="360" w:lineRule="auto"/>
        <w:ind w:firstLine="480" w:firstLineChars="200"/>
        <w:rPr>
          <w:sz w:val="24"/>
        </w:rPr>
      </w:pPr>
      <w:r>
        <w:rPr>
          <w:sz w:val="24"/>
        </w:rPr>
        <w:t>C</w:t>
      </w:r>
      <w:r>
        <w:rPr>
          <w:rFonts w:hint="eastAsia"/>
          <w:sz w:val="24"/>
        </w:rPr>
        <w:t>．论文见刊须提供刊物封面、论文目录及正文首页；论文录用须提供经导师签字确认的录用通知及发票复印件；SCI、EI收录须提供收录证明。</w:t>
      </w:r>
    </w:p>
    <w:p>
      <w:pPr>
        <w:snapToGrid w:val="0"/>
        <w:spacing w:line="360" w:lineRule="auto"/>
        <w:ind w:firstLine="480" w:firstLineChars="200"/>
        <w:rPr>
          <w:sz w:val="24"/>
        </w:rPr>
      </w:pPr>
      <w:r>
        <w:rPr>
          <w:rFonts w:hint="eastAsia"/>
          <w:sz w:val="24"/>
        </w:rPr>
        <w:t>（3）每位申请者科研（学术）成果加分可累计计算；</w:t>
      </w:r>
    </w:p>
    <w:p>
      <w:pPr>
        <w:snapToGrid w:val="0"/>
        <w:spacing w:line="360" w:lineRule="auto"/>
        <w:ind w:firstLine="480" w:firstLineChars="200"/>
        <w:rPr>
          <w:sz w:val="24"/>
        </w:rPr>
      </w:pPr>
      <w:r>
        <w:rPr>
          <w:rFonts w:hint="eastAsia"/>
          <w:sz w:val="24"/>
        </w:rPr>
        <w:t>（4）所有成果署名</w:t>
      </w:r>
      <w:r>
        <w:rPr>
          <w:sz w:val="24"/>
        </w:rPr>
        <w:t>（</w:t>
      </w:r>
      <w:r>
        <w:rPr>
          <w:rFonts w:hint="eastAsia"/>
          <w:sz w:val="24"/>
        </w:rPr>
        <w:t>所属</w:t>
      </w:r>
      <w:r>
        <w:rPr>
          <w:sz w:val="24"/>
        </w:rPr>
        <w:t>）</w:t>
      </w:r>
      <w:r>
        <w:rPr>
          <w:rFonts w:hint="eastAsia"/>
          <w:sz w:val="24"/>
        </w:rPr>
        <w:t>必须为</w:t>
      </w:r>
      <w:r>
        <w:rPr>
          <w:sz w:val="24"/>
        </w:rPr>
        <w:t>贵州大学；</w:t>
      </w:r>
    </w:p>
    <w:p>
      <w:pPr>
        <w:snapToGrid w:val="0"/>
        <w:spacing w:line="360" w:lineRule="auto"/>
        <w:ind w:firstLine="480" w:firstLineChars="200"/>
        <w:rPr>
          <w:sz w:val="24"/>
        </w:rPr>
      </w:pPr>
      <w:r>
        <w:rPr>
          <w:rFonts w:hint="eastAsia"/>
          <w:sz w:val="24"/>
        </w:rPr>
        <w:t>（5）科研学术成果应与专业或研究方向有关。</w:t>
      </w:r>
    </w:p>
    <w:p>
      <w:pPr>
        <w:snapToGrid w:val="0"/>
        <w:spacing w:line="360" w:lineRule="auto"/>
        <w:ind w:firstLine="482" w:firstLineChars="200"/>
        <w:rPr>
          <w:b/>
          <w:sz w:val="24"/>
        </w:rPr>
      </w:pPr>
      <w:r>
        <w:rPr>
          <w:rFonts w:hint="eastAsia"/>
          <w:b/>
          <w:sz w:val="24"/>
        </w:rPr>
        <w:t>（三）综合测试考核</w:t>
      </w:r>
    </w:p>
    <w:p>
      <w:pPr>
        <w:snapToGrid w:val="0"/>
        <w:spacing w:line="360" w:lineRule="auto"/>
        <w:ind w:firstLine="480" w:firstLineChars="200"/>
        <w:rPr>
          <w:sz w:val="24"/>
        </w:rPr>
      </w:pPr>
      <w:r>
        <w:rPr>
          <w:rFonts w:hint="eastAsia"/>
          <w:sz w:val="24"/>
        </w:rPr>
        <w:t>电气工程学院负责综合测试工作及成绩评定。</w:t>
      </w:r>
    </w:p>
    <w:p>
      <w:pPr>
        <w:snapToGrid w:val="0"/>
        <w:spacing w:line="360" w:lineRule="auto"/>
        <w:ind w:firstLine="480" w:firstLineChars="200"/>
        <w:rPr>
          <w:sz w:val="24"/>
        </w:rPr>
      </w:pPr>
      <w:r>
        <w:rPr>
          <w:rFonts w:hint="eastAsia"/>
          <w:sz w:val="24"/>
        </w:rPr>
        <w:t>综合测试：主要对考生的基础知识</w:t>
      </w:r>
      <w:r>
        <w:rPr>
          <w:sz w:val="24"/>
        </w:rPr>
        <w:t>、</w:t>
      </w:r>
      <w:r>
        <w:rPr>
          <w:rFonts w:hint="eastAsia"/>
          <w:sz w:val="24"/>
        </w:rPr>
        <w:t>知识结构、专业综合能力、</w:t>
      </w:r>
      <w:r>
        <w:rPr>
          <w:sz w:val="24"/>
        </w:rPr>
        <w:t>研究潜力</w:t>
      </w:r>
      <w:r>
        <w:rPr>
          <w:rFonts w:hint="eastAsia"/>
          <w:sz w:val="24"/>
        </w:rPr>
        <w:t>进行测试，包括能力测试和面试测试。能力测试为结合</w:t>
      </w:r>
      <w:r>
        <w:rPr>
          <w:sz w:val="24"/>
        </w:rPr>
        <w:t>所报学科专业方向，撰写</w:t>
      </w:r>
      <w:r>
        <w:rPr>
          <w:rFonts w:hint="eastAsia"/>
          <w:sz w:val="24"/>
        </w:rPr>
        <w:t>学习</w:t>
      </w:r>
      <w:r>
        <w:rPr>
          <w:sz w:val="24"/>
        </w:rPr>
        <w:t>及研究规划</w:t>
      </w:r>
      <w:r>
        <w:rPr>
          <w:rFonts w:hint="eastAsia"/>
          <w:sz w:val="24"/>
        </w:rPr>
        <w:t>，时间为1小时</w:t>
      </w:r>
      <w:r>
        <w:rPr>
          <w:sz w:val="24"/>
        </w:rPr>
        <w:t>；</w:t>
      </w:r>
      <w:r>
        <w:rPr>
          <w:rFonts w:hint="eastAsia"/>
          <w:sz w:val="24"/>
        </w:rPr>
        <w:t>面试测试，时间为15~20分钟。</w:t>
      </w:r>
    </w:p>
    <w:p>
      <w:pPr>
        <w:snapToGrid w:val="0"/>
        <w:spacing w:line="360" w:lineRule="auto"/>
        <w:ind w:firstLine="480" w:firstLineChars="200"/>
        <w:rPr>
          <w:sz w:val="24"/>
        </w:rPr>
      </w:pPr>
      <w:r>
        <w:rPr>
          <w:rFonts w:hint="eastAsia"/>
          <w:sz w:val="24"/>
        </w:rPr>
        <w:t>综合测试总分为100分，由考核专家组成员综合评分，考核专家组成员的平均成绩为该考生的综合测试成绩。</w:t>
      </w:r>
    </w:p>
    <w:p>
      <w:pPr>
        <w:snapToGrid w:val="0"/>
        <w:spacing w:line="360" w:lineRule="auto"/>
        <w:ind w:firstLine="482" w:firstLineChars="200"/>
        <w:rPr>
          <w:b/>
          <w:sz w:val="24"/>
        </w:rPr>
      </w:pPr>
      <w:r>
        <w:rPr>
          <w:rFonts w:hint="eastAsia"/>
          <w:b/>
          <w:sz w:val="24"/>
        </w:rPr>
        <w:t>（</w:t>
      </w:r>
      <w:r>
        <w:rPr>
          <w:b/>
          <w:sz w:val="24"/>
        </w:rPr>
        <w:t>四）</w:t>
      </w:r>
      <w:r>
        <w:rPr>
          <w:rFonts w:hint="eastAsia"/>
          <w:b/>
          <w:sz w:val="24"/>
        </w:rPr>
        <w:t>专业</w:t>
      </w:r>
      <w:r>
        <w:rPr>
          <w:b/>
          <w:sz w:val="24"/>
        </w:rPr>
        <w:t>能力考核</w:t>
      </w:r>
    </w:p>
    <w:p>
      <w:pPr>
        <w:snapToGrid w:val="0"/>
        <w:spacing w:line="360" w:lineRule="auto"/>
        <w:ind w:firstLine="480" w:firstLineChars="200"/>
        <w:rPr>
          <w:sz w:val="24"/>
        </w:rPr>
      </w:pPr>
      <w:r>
        <w:rPr>
          <w:rFonts w:hint="eastAsia"/>
          <w:sz w:val="24"/>
        </w:rPr>
        <w:t>专业</w:t>
      </w:r>
      <w:r>
        <w:rPr>
          <w:sz w:val="24"/>
        </w:rPr>
        <w:t>能力考核</w:t>
      </w:r>
      <w:r>
        <w:rPr>
          <w:rFonts w:hint="eastAsia"/>
          <w:sz w:val="24"/>
        </w:rPr>
        <w:t>成绩=课程成绩×0.3+科研（学术</w:t>
      </w:r>
      <w:r>
        <w:rPr>
          <w:sz w:val="24"/>
        </w:rPr>
        <w:t>）</w:t>
      </w:r>
      <w:r>
        <w:rPr>
          <w:rFonts w:hint="eastAsia"/>
          <w:sz w:val="24"/>
        </w:rPr>
        <w:t>成果成绩×0.2+综合测试成绩×0.5。</w:t>
      </w:r>
    </w:p>
    <w:p>
      <w:pPr>
        <w:snapToGrid w:val="0"/>
        <w:spacing w:line="360" w:lineRule="auto"/>
        <w:ind w:firstLine="480" w:firstLineChars="200"/>
        <w:rPr>
          <w:sz w:val="24"/>
        </w:rPr>
      </w:pPr>
      <w:r>
        <w:rPr>
          <w:rFonts w:hint="eastAsia"/>
          <w:sz w:val="24"/>
        </w:rPr>
        <w:t>专业</w:t>
      </w:r>
      <w:r>
        <w:rPr>
          <w:sz w:val="24"/>
        </w:rPr>
        <w:t>能力考核</w:t>
      </w:r>
      <w:r>
        <w:rPr>
          <w:rFonts w:hint="eastAsia"/>
          <w:sz w:val="24"/>
        </w:rPr>
        <w:t>成绩小于60分者或综合测试成绩小于60分者或</w:t>
      </w:r>
      <w:r>
        <w:rPr>
          <w:sz w:val="24"/>
        </w:rPr>
        <w:t>外语水平考试不合格者</w:t>
      </w:r>
      <w:r>
        <w:rPr>
          <w:rFonts w:hint="eastAsia"/>
          <w:sz w:val="24"/>
        </w:rPr>
        <w:t>不予录取。</w:t>
      </w:r>
    </w:p>
    <w:p>
      <w:pPr>
        <w:numPr>
          <w:ilvl w:val="255"/>
          <w:numId w:val="0"/>
        </w:numPr>
        <w:autoSpaceDE w:val="0"/>
        <w:autoSpaceDN w:val="0"/>
        <w:adjustRightInd w:val="0"/>
        <w:snapToGrid w:val="0"/>
        <w:spacing w:line="360" w:lineRule="auto"/>
        <w:ind w:left="315" w:leftChars="150"/>
        <w:rPr>
          <w:b/>
          <w:sz w:val="24"/>
        </w:rPr>
      </w:pPr>
      <w:r>
        <w:rPr>
          <w:rFonts w:hint="eastAsia"/>
          <w:b/>
          <w:sz w:val="24"/>
        </w:rPr>
        <w:t>五、综合测</w:t>
      </w:r>
      <w:r>
        <w:rPr>
          <w:b/>
          <w:sz w:val="24"/>
        </w:rPr>
        <w:t>试</w:t>
      </w:r>
      <w:r>
        <w:rPr>
          <w:rFonts w:hint="eastAsia"/>
          <w:b/>
          <w:sz w:val="24"/>
        </w:rPr>
        <w:t>人数</w:t>
      </w:r>
      <w:r>
        <w:rPr>
          <w:b/>
          <w:sz w:val="24"/>
        </w:rPr>
        <w:t>、</w:t>
      </w:r>
      <w:r>
        <w:rPr>
          <w:rFonts w:hint="eastAsia"/>
          <w:b/>
          <w:sz w:val="24"/>
        </w:rPr>
        <w:t>时间及录取</w:t>
      </w:r>
    </w:p>
    <w:p>
      <w:pPr>
        <w:snapToGrid w:val="0"/>
        <w:spacing w:line="360" w:lineRule="auto"/>
        <w:ind w:firstLine="480" w:firstLineChars="200"/>
        <w:rPr>
          <w:sz w:val="24"/>
        </w:rPr>
      </w:pPr>
      <w:r>
        <w:rPr>
          <w:rFonts w:hint="eastAsia"/>
          <w:sz w:val="24"/>
        </w:rPr>
        <w:t>（一）按</w:t>
      </w:r>
      <w:r>
        <w:rPr>
          <w:sz w:val="24"/>
        </w:rPr>
        <w:t>拟录取</w:t>
      </w:r>
      <w:r>
        <w:rPr>
          <w:rFonts w:hint="eastAsia"/>
          <w:sz w:val="24"/>
        </w:rPr>
        <w:t>人数</w:t>
      </w:r>
      <w:r>
        <w:rPr>
          <w:sz w:val="24"/>
        </w:rPr>
        <w:t>，以不大于</w:t>
      </w:r>
      <w:r>
        <w:rPr>
          <w:rFonts w:hint="eastAsia"/>
          <w:sz w:val="24"/>
        </w:rPr>
        <w:t>1:4的</w:t>
      </w:r>
      <w:r>
        <w:rPr>
          <w:sz w:val="24"/>
        </w:rPr>
        <w:t>比例确定参加综合测试人员名单；</w:t>
      </w:r>
    </w:p>
    <w:p>
      <w:pPr>
        <w:snapToGrid w:val="0"/>
        <w:spacing w:line="360" w:lineRule="auto"/>
        <w:ind w:firstLine="480" w:firstLineChars="200"/>
        <w:rPr>
          <w:sz w:val="24"/>
        </w:rPr>
      </w:pPr>
      <w:r>
        <w:rPr>
          <w:rFonts w:hint="eastAsia"/>
          <w:sz w:val="24"/>
        </w:rPr>
        <w:t>（二</w:t>
      </w:r>
      <w:r>
        <w:rPr>
          <w:sz w:val="24"/>
        </w:rPr>
        <w:t>）</w:t>
      </w:r>
      <w:r>
        <w:rPr>
          <w:rFonts w:hint="eastAsia"/>
          <w:sz w:val="24"/>
        </w:rPr>
        <w:t>专业能力综合考核时间</w:t>
      </w:r>
      <w:r>
        <w:rPr>
          <w:rFonts w:hint="eastAsia"/>
          <w:sz w:val="24"/>
          <w:highlight w:val="none"/>
        </w:rPr>
        <w:t>202</w:t>
      </w:r>
      <w:r>
        <w:rPr>
          <w:rFonts w:hint="eastAsia"/>
          <w:sz w:val="24"/>
          <w:highlight w:val="none"/>
          <w:lang w:val="en-US" w:eastAsia="zh-CN"/>
        </w:rPr>
        <w:t>2</w:t>
      </w:r>
      <w:r>
        <w:rPr>
          <w:rFonts w:hint="eastAsia"/>
          <w:sz w:val="24"/>
          <w:highlight w:val="none"/>
        </w:rPr>
        <w:t>年1</w:t>
      </w:r>
      <w:r>
        <w:rPr>
          <w:rFonts w:hint="eastAsia"/>
          <w:sz w:val="24"/>
          <w:highlight w:val="none"/>
          <w:lang w:val="en-US" w:eastAsia="zh-CN"/>
        </w:rPr>
        <w:t>1</w:t>
      </w:r>
      <w:r>
        <w:rPr>
          <w:rFonts w:hint="eastAsia"/>
          <w:sz w:val="24"/>
          <w:highlight w:val="none"/>
        </w:rPr>
        <w:t>月</w:t>
      </w:r>
      <w:r>
        <w:rPr>
          <w:rFonts w:hint="eastAsia"/>
          <w:sz w:val="24"/>
          <w:highlight w:val="none"/>
          <w:lang w:val="en-US" w:eastAsia="zh-CN"/>
        </w:rPr>
        <w:t>14</w:t>
      </w:r>
      <w:r>
        <w:rPr>
          <w:rFonts w:hint="eastAsia"/>
          <w:sz w:val="24"/>
          <w:highlight w:val="none"/>
        </w:rPr>
        <w:t>日上午9:00开始</w:t>
      </w:r>
      <w:r>
        <w:rPr>
          <w:rFonts w:hint="eastAsia"/>
          <w:sz w:val="24"/>
        </w:rPr>
        <w:t>，地点：贵州大学西校区电气工程学院会议室607。</w:t>
      </w:r>
    </w:p>
    <w:p>
      <w:pPr>
        <w:snapToGrid w:val="0"/>
        <w:spacing w:line="360" w:lineRule="auto"/>
        <w:ind w:firstLine="480" w:firstLineChars="200"/>
        <w:rPr>
          <w:sz w:val="24"/>
        </w:rPr>
      </w:pPr>
      <w:r>
        <w:rPr>
          <w:rFonts w:hint="eastAsia"/>
          <w:sz w:val="24"/>
        </w:rPr>
        <w:t>录取程序：</w:t>
      </w:r>
    </w:p>
    <w:p>
      <w:pPr>
        <w:snapToGrid w:val="0"/>
        <w:spacing w:line="360" w:lineRule="auto"/>
        <w:ind w:firstLine="480" w:firstLineChars="200"/>
        <w:rPr>
          <w:sz w:val="24"/>
        </w:rPr>
      </w:pPr>
      <w:r>
        <w:rPr>
          <w:rFonts w:hint="eastAsia"/>
          <w:sz w:val="24"/>
        </w:rPr>
        <w:t>1．学院按专业能力综合考核</w:t>
      </w:r>
      <w:r>
        <w:rPr>
          <w:sz w:val="24"/>
        </w:rPr>
        <w:t>成绩，对我院</w:t>
      </w:r>
      <w:r>
        <w:rPr>
          <w:rFonts w:hint="eastAsia"/>
          <w:sz w:val="24"/>
        </w:rPr>
        <w:t>的</w:t>
      </w:r>
      <w:r>
        <w:rPr>
          <w:sz w:val="24"/>
        </w:rPr>
        <w:t>申请者排序，</w:t>
      </w:r>
      <w:r>
        <w:rPr>
          <w:rFonts w:hint="eastAsia"/>
          <w:sz w:val="24"/>
        </w:rPr>
        <w:t>并确定拟录取硕博连读</w:t>
      </w:r>
      <w:r>
        <w:rPr>
          <w:sz w:val="24"/>
        </w:rPr>
        <w:t>研究生</w:t>
      </w:r>
      <w:r>
        <w:rPr>
          <w:rFonts w:hint="eastAsia"/>
          <w:sz w:val="24"/>
        </w:rPr>
        <w:t>学生名单，公示三天，无异议后，报学校研究生招生办公室。</w:t>
      </w:r>
    </w:p>
    <w:p>
      <w:pPr>
        <w:snapToGrid w:val="0"/>
        <w:spacing w:line="360" w:lineRule="auto"/>
        <w:ind w:firstLine="480" w:firstLineChars="200"/>
        <w:rPr>
          <w:sz w:val="24"/>
        </w:rPr>
      </w:pPr>
      <w:r>
        <w:rPr>
          <w:rFonts w:hint="eastAsia"/>
          <w:sz w:val="24"/>
        </w:rPr>
        <w:t>申诉渠道：（1）电气工程</w:t>
      </w:r>
      <w:r>
        <w:rPr>
          <w:sz w:val="24"/>
        </w:rPr>
        <w:t>学院研究生科：</w:t>
      </w:r>
      <w:r>
        <w:rPr>
          <w:rFonts w:hint="eastAsia"/>
          <w:sz w:val="24"/>
        </w:rPr>
        <w:t>0851-83625404；（2）电气工程学院纪检组</w:t>
      </w:r>
      <w:r>
        <w:rPr>
          <w:sz w:val="24"/>
        </w:rPr>
        <w:t>：</w:t>
      </w:r>
      <w:r>
        <w:rPr>
          <w:rFonts w:hint="eastAsia"/>
          <w:sz w:val="24"/>
        </w:rPr>
        <w:t>0851-83626560；（3）校研招办：0851-88292217；（4）校纪委纪检监察室：0851-88292937。</w:t>
      </w:r>
    </w:p>
    <w:p>
      <w:pPr>
        <w:snapToGrid w:val="0"/>
        <w:spacing w:line="360" w:lineRule="auto"/>
        <w:ind w:firstLine="480" w:firstLineChars="200"/>
        <w:rPr>
          <w:sz w:val="24"/>
        </w:rPr>
      </w:pPr>
      <w:r>
        <w:rPr>
          <w:rFonts w:hint="eastAsia"/>
          <w:sz w:val="24"/>
        </w:rPr>
        <w:t>2. 学院报送研究生院组织实施录取程序。</w:t>
      </w:r>
    </w:p>
    <w:p>
      <w:pPr>
        <w:snapToGrid w:val="0"/>
        <w:spacing w:line="360" w:lineRule="auto"/>
        <w:ind w:firstLine="120" w:firstLineChars="50"/>
        <w:rPr>
          <w:b/>
          <w:sz w:val="24"/>
        </w:rPr>
      </w:pPr>
      <w:r>
        <w:rPr>
          <w:rFonts w:hint="eastAsia"/>
          <w:b/>
          <w:sz w:val="24"/>
        </w:rPr>
        <w:t>六、招生计划</w:t>
      </w:r>
    </w:p>
    <w:p>
      <w:pPr>
        <w:snapToGrid w:val="0"/>
        <w:spacing w:line="360" w:lineRule="auto"/>
        <w:ind w:firstLine="120" w:firstLineChars="50"/>
        <w:rPr>
          <w:sz w:val="24"/>
        </w:rPr>
      </w:pPr>
      <w:r>
        <w:rPr>
          <w:rFonts w:hint="eastAsia"/>
          <w:b/>
          <w:sz w:val="24"/>
        </w:rPr>
        <w:t xml:space="preserve"> </w:t>
      </w:r>
      <w:r>
        <w:rPr>
          <w:rFonts w:hint="eastAsia"/>
          <w:sz w:val="24"/>
        </w:rPr>
        <w:t>我院电子科学与技术专业(研究方向: 电力电子装备与系统)硕博连读招生计划数:1人。</w:t>
      </w:r>
    </w:p>
    <w:p>
      <w:pPr>
        <w:numPr>
          <w:ilvl w:val="255"/>
          <w:numId w:val="0"/>
        </w:numPr>
        <w:tabs>
          <w:tab w:val="left" w:pos="0"/>
        </w:tabs>
        <w:autoSpaceDE w:val="0"/>
        <w:autoSpaceDN w:val="0"/>
        <w:adjustRightInd w:val="0"/>
        <w:snapToGrid w:val="0"/>
        <w:spacing w:line="360" w:lineRule="auto"/>
        <w:ind w:left="315" w:leftChars="150"/>
        <w:rPr>
          <w:b/>
          <w:sz w:val="24"/>
        </w:rPr>
      </w:pPr>
      <w:r>
        <w:rPr>
          <w:rFonts w:hint="eastAsia"/>
          <w:b/>
          <w:sz w:val="24"/>
        </w:rPr>
        <w:t>七、本规定的解释权归电气工程学院选拔研究生</w:t>
      </w:r>
      <w:r>
        <w:rPr>
          <w:b/>
          <w:sz w:val="24"/>
        </w:rPr>
        <w:t>硕博连读</w:t>
      </w:r>
      <w:r>
        <w:rPr>
          <w:rFonts w:hint="eastAsia"/>
          <w:b/>
          <w:sz w:val="24"/>
        </w:rPr>
        <w:t>工作领导小组。</w:t>
      </w:r>
    </w:p>
    <w:p>
      <w:pPr>
        <w:spacing w:line="360" w:lineRule="auto"/>
        <w:rPr>
          <w:sz w:val="24"/>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1.贵州大学关于印发《贵州大学选拔硕博连读研究生实</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960" w:firstLineChars="3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施办法(试行）》的通知</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.贵州大学硕博连读研究生申请表</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.贵州大学硕博连读研究生专家推荐书</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.贵州大学硕博连读研究生选拔考核登记表</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.贵州大学硕博连读研究生报考名单汇总表</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.贵州大学硕博连读研究生拟录取名单汇总表</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rPr>
      </w:pPr>
    </w:p>
    <w:p>
      <w:pPr>
        <w:spacing w:line="560" w:lineRule="exact"/>
        <w:ind w:firstLine="720" w:firstLineChars="300"/>
        <w:jc w:val="left"/>
        <w:rPr>
          <w:rFonts w:ascii="仿宋_GB2312" w:hAnsi="仿宋_GB2312" w:eastAsia="仿宋_GB2312" w:cs="仿宋_GB2312"/>
          <w:sz w:val="24"/>
        </w:rPr>
      </w:pPr>
    </w:p>
    <w:p>
      <w:pPr>
        <w:spacing w:line="360" w:lineRule="auto"/>
        <w:ind w:right="1200" w:firstLine="3360" w:firstLineChars="1400"/>
        <w:rPr>
          <w:sz w:val="24"/>
        </w:rPr>
      </w:pPr>
    </w:p>
    <w:p>
      <w:pPr>
        <w:spacing w:line="600" w:lineRule="exact"/>
        <w:ind w:firstLine="750" w:firstLineChars="250"/>
        <w:jc w:val="left"/>
        <w:rPr>
          <w:rFonts w:ascii="仿宋_GB2312" w:eastAsia="仿宋_GB2312"/>
          <w:sz w:val="30"/>
          <w:szCs w:val="30"/>
        </w:rPr>
      </w:pPr>
    </w:p>
    <w:p>
      <w:pPr>
        <w:spacing w:line="360" w:lineRule="auto"/>
        <w:ind w:right="1200" w:firstLine="3360" w:firstLineChars="1400"/>
        <w:rPr>
          <w:sz w:val="24"/>
        </w:rPr>
      </w:pPr>
      <w:r>
        <w:rPr>
          <w:rFonts w:hint="eastAsia"/>
          <w:sz w:val="24"/>
        </w:rPr>
        <w:t xml:space="preserve">           贵州大学电气工程学院</w:t>
      </w:r>
    </w:p>
    <w:p>
      <w:pPr>
        <w:spacing w:line="360" w:lineRule="auto"/>
        <w:ind w:right="1200" w:firstLine="3360" w:firstLineChars="1400"/>
        <w:rPr>
          <w:rFonts w:ascii="仿宋_GB2312" w:eastAsia="仿宋_GB2312"/>
          <w:sz w:val="30"/>
          <w:szCs w:val="30"/>
        </w:rPr>
      </w:pPr>
      <w:r>
        <w:rPr>
          <w:rFonts w:hint="eastAsia"/>
          <w:sz w:val="24"/>
        </w:rPr>
        <w:t xml:space="preserve">               202</w:t>
      </w:r>
      <w:r>
        <w:rPr>
          <w:rFonts w:hint="eastAsia"/>
          <w:sz w:val="24"/>
          <w:lang w:val="en-US" w:eastAsia="zh-CN"/>
        </w:rPr>
        <w:t>2</w:t>
      </w:r>
      <w:r>
        <w:rPr>
          <w:rFonts w:hint="eastAsia"/>
          <w:sz w:val="24"/>
        </w:rPr>
        <w:t>年1</w:t>
      </w:r>
      <w:r>
        <w:rPr>
          <w:rFonts w:hint="eastAsia"/>
          <w:sz w:val="24"/>
          <w:lang w:val="en-US" w:eastAsia="zh-CN"/>
        </w:rPr>
        <w:t>1</w:t>
      </w:r>
      <w:r>
        <w:rPr>
          <w:rFonts w:hint="eastAsia"/>
          <w:sz w:val="24"/>
        </w:rPr>
        <w:t>月</w:t>
      </w:r>
      <w:r>
        <w:rPr>
          <w:rFonts w:hint="eastAsia"/>
          <w:sz w:val="24"/>
          <w:lang w:val="en-US" w:eastAsia="zh-CN"/>
        </w:rPr>
        <w:t>2</w:t>
      </w:r>
      <w:r>
        <w:rPr>
          <w:rFonts w:hint="eastAsia"/>
          <w:sz w:val="24"/>
        </w:rPr>
        <w:t>日</w:t>
      </w:r>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DejaVu Math TeX Gyre"/>
    <w:panose1 w:val="02040503050203030202"/>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kern w:val="0"/>
        <w:szCs w:val="21"/>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00AC6"/>
    <w:multiLevelType w:val="multilevel"/>
    <w:tmpl w:val="0C000AC6"/>
    <w:lvl w:ilvl="0" w:tentative="0">
      <w:start w:val="1"/>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diMzY0ZGVjNmM3ZTk0YTgzNGE2MDVjMDMxYTQyMWUifQ=="/>
  </w:docVars>
  <w:rsids>
    <w:rsidRoot w:val="00160B02"/>
    <w:rsid w:val="0000492B"/>
    <w:rsid w:val="00007338"/>
    <w:rsid w:val="000172C3"/>
    <w:rsid w:val="00021522"/>
    <w:rsid w:val="000220A0"/>
    <w:rsid w:val="00031C2B"/>
    <w:rsid w:val="0003427B"/>
    <w:rsid w:val="000373DB"/>
    <w:rsid w:val="0004491E"/>
    <w:rsid w:val="00055833"/>
    <w:rsid w:val="0006256C"/>
    <w:rsid w:val="00064D0E"/>
    <w:rsid w:val="00065703"/>
    <w:rsid w:val="0007699A"/>
    <w:rsid w:val="00080F4C"/>
    <w:rsid w:val="000834FA"/>
    <w:rsid w:val="0009037F"/>
    <w:rsid w:val="00097419"/>
    <w:rsid w:val="000A225C"/>
    <w:rsid w:val="000A31F3"/>
    <w:rsid w:val="000A63FB"/>
    <w:rsid w:val="000A6B90"/>
    <w:rsid w:val="000A6D15"/>
    <w:rsid w:val="000C0306"/>
    <w:rsid w:val="000C0C57"/>
    <w:rsid w:val="000C4239"/>
    <w:rsid w:val="000C546F"/>
    <w:rsid w:val="000C5CA4"/>
    <w:rsid w:val="000C77FC"/>
    <w:rsid w:val="000D0ACC"/>
    <w:rsid w:val="000D4C15"/>
    <w:rsid w:val="000E4F8E"/>
    <w:rsid w:val="000F0E79"/>
    <w:rsid w:val="000F4EFD"/>
    <w:rsid w:val="001048B8"/>
    <w:rsid w:val="00105022"/>
    <w:rsid w:val="00113FED"/>
    <w:rsid w:val="001173D1"/>
    <w:rsid w:val="001252BE"/>
    <w:rsid w:val="0012754A"/>
    <w:rsid w:val="0014390B"/>
    <w:rsid w:val="001552D0"/>
    <w:rsid w:val="00160B02"/>
    <w:rsid w:val="00160FEA"/>
    <w:rsid w:val="001639D2"/>
    <w:rsid w:val="00170D0E"/>
    <w:rsid w:val="00171D62"/>
    <w:rsid w:val="001811C2"/>
    <w:rsid w:val="00186677"/>
    <w:rsid w:val="00190CE9"/>
    <w:rsid w:val="00194CD6"/>
    <w:rsid w:val="0019542D"/>
    <w:rsid w:val="001A326E"/>
    <w:rsid w:val="001A4644"/>
    <w:rsid w:val="001B1516"/>
    <w:rsid w:val="001B62C8"/>
    <w:rsid w:val="001C2B22"/>
    <w:rsid w:val="001C345C"/>
    <w:rsid w:val="001D0FD0"/>
    <w:rsid w:val="001D17CB"/>
    <w:rsid w:val="002023CA"/>
    <w:rsid w:val="002029EA"/>
    <w:rsid w:val="002035F3"/>
    <w:rsid w:val="00205A93"/>
    <w:rsid w:val="0021423E"/>
    <w:rsid w:val="00215495"/>
    <w:rsid w:val="00226BBE"/>
    <w:rsid w:val="00230EFD"/>
    <w:rsid w:val="00234225"/>
    <w:rsid w:val="0024568C"/>
    <w:rsid w:val="00251AFB"/>
    <w:rsid w:val="00257640"/>
    <w:rsid w:val="00277579"/>
    <w:rsid w:val="00280990"/>
    <w:rsid w:val="00281114"/>
    <w:rsid w:val="002863D2"/>
    <w:rsid w:val="00294A2E"/>
    <w:rsid w:val="002A669A"/>
    <w:rsid w:val="002B10FB"/>
    <w:rsid w:val="002B2F57"/>
    <w:rsid w:val="002B7519"/>
    <w:rsid w:val="002D0F4F"/>
    <w:rsid w:val="002D3DF6"/>
    <w:rsid w:val="002D453A"/>
    <w:rsid w:val="002F10E3"/>
    <w:rsid w:val="003139F4"/>
    <w:rsid w:val="003268B3"/>
    <w:rsid w:val="00336AE1"/>
    <w:rsid w:val="0033706F"/>
    <w:rsid w:val="0034149F"/>
    <w:rsid w:val="0036007F"/>
    <w:rsid w:val="00360DCB"/>
    <w:rsid w:val="00360F38"/>
    <w:rsid w:val="00366E26"/>
    <w:rsid w:val="00372DF8"/>
    <w:rsid w:val="00376098"/>
    <w:rsid w:val="003813B7"/>
    <w:rsid w:val="003841A0"/>
    <w:rsid w:val="00384978"/>
    <w:rsid w:val="00385D20"/>
    <w:rsid w:val="00387690"/>
    <w:rsid w:val="0039183A"/>
    <w:rsid w:val="00394D70"/>
    <w:rsid w:val="003A6917"/>
    <w:rsid w:val="003B014D"/>
    <w:rsid w:val="003B24A7"/>
    <w:rsid w:val="003C6C46"/>
    <w:rsid w:val="003D7EC7"/>
    <w:rsid w:val="003E2D52"/>
    <w:rsid w:val="00401F77"/>
    <w:rsid w:val="0040313B"/>
    <w:rsid w:val="0040513A"/>
    <w:rsid w:val="00405AF4"/>
    <w:rsid w:val="00421D5A"/>
    <w:rsid w:val="004275AC"/>
    <w:rsid w:val="00433F37"/>
    <w:rsid w:val="004441BE"/>
    <w:rsid w:val="00450D73"/>
    <w:rsid w:val="00461A1D"/>
    <w:rsid w:val="00481DA8"/>
    <w:rsid w:val="00486237"/>
    <w:rsid w:val="00491E34"/>
    <w:rsid w:val="004A1F1F"/>
    <w:rsid w:val="004A6BCE"/>
    <w:rsid w:val="004B14CD"/>
    <w:rsid w:val="004B2BC8"/>
    <w:rsid w:val="004B33EF"/>
    <w:rsid w:val="004B5813"/>
    <w:rsid w:val="004C4B28"/>
    <w:rsid w:val="004D01B3"/>
    <w:rsid w:val="004D6F92"/>
    <w:rsid w:val="004E5EF6"/>
    <w:rsid w:val="004F095A"/>
    <w:rsid w:val="004F15DA"/>
    <w:rsid w:val="004F39E0"/>
    <w:rsid w:val="004F5889"/>
    <w:rsid w:val="005048CB"/>
    <w:rsid w:val="00510132"/>
    <w:rsid w:val="0051278A"/>
    <w:rsid w:val="005140D3"/>
    <w:rsid w:val="00536BC8"/>
    <w:rsid w:val="0054314B"/>
    <w:rsid w:val="00552AD0"/>
    <w:rsid w:val="00552B3D"/>
    <w:rsid w:val="00553C10"/>
    <w:rsid w:val="00555AEE"/>
    <w:rsid w:val="00560FA5"/>
    <w:rsid w:val="00571014"/>
    <w:rsid w:val="005839FC"/>
    <w:rsid w:val="005919FF"/>
    <w:rsid w:val="00592DB4"/>
    <w:rsid w:val="005A0D5F"/>
    <w:rsid w:val="005A51E9"/>
    <w:rsid w:val="005C0AE4"/>
    <w:rsid w:val="005C3E09"/>
    <w:rsid w:val="005C4FFC"/>
    <w:rsid w:val="005C5ED5"/>
    <w:rsid w:val="005D000C"/>
    <w:rsid w:val="005D1156"/>
    <w:rsid w:val="005D2723"/>
    <w:rsid w:val="005D2F47"/>
    <w:rsid w:val="005D740A"/>
    <w:rsid w:val="005F40B7"/>
    <w:rsid w:val="00611026"/>
    <w:rsid w:val="006154D4"/>
    <w:rsid w:val="00616624"/>
    <w:rsid w:val="006173C3"/>
    <w:rsid w:val="00623839"/>
    <w:rsid w:val="00627865"/>
    <w:rsid w:val="00627AEE"/>
    <w:rsid w:val="00627EE4"/>
    <w:rsid w:val="00632AA7"/>
    <w:rsid w:val="006469D2"/>
    <w:rsid w:val="00650F88"/>
    <w:rsid w:val="00655213"/>
    <w:rsid w:val="00665835"/>
    <w:rsid w:val="006765C0"/>
    <w:rsid w:val="00690574"/>
    <w:rsid w:val="006922B2"/>
    <w:rsid w:val="006A06B2"/>
    <w:rsid w:val="006A5ABE"/>
    <w:rsid w:val="006A5D83"/>
    <w:rsid w:val="006C1F02"/>
    <w:rsid w:val="006D0108"/>
    <w:rsid w:val="006D430A"/>
    <w:rsid w:val="006E6576"/>
    <w:rsid w:val="00700E8E"/>
    <w:rsid w:val="00704E8A"/>
    <w:rsid w:val="007075B6"/>
    <w:rsid w:val="007076E6"/>
    <w:rsid w:val="00710766"/>
    <w:rsid w:val="00710DAB"/>
    <w:rsid w:val="0071625D"/>
    <w:rsid w:val="007235C6"/>
    <w:rsid w:val="00743605"/>
    <w:rsid w:val="007452F1"/>
    <w:rsid w:val="00753067"/>
    <w:rsid w:val="00754793"/>
    <w:rsid w:val="00756855"/>
    <w:rsid w:val="007626AE"/>
    <w:rsid w:val="007647AA"/>
    <w:rsid w:val="00766F30"/>
    <w:rsid w:val="00770A6C"/>
    <w:rsid w:val="00781FF1"/>
    <w:rsid w:val="007826AA"/>
    <w:rsid w:val="007858B0"/>
    <w:rsid w:val="00786409"/>
    <w:rsid w:val="00786905"/>
    <w:rsid w:val="00796176"/>
    <w:rsid w:val="007A0923"/>
    <w:rsid w:val="007A2950"/>
    <w:rsid w:val="007A6CB8"/>
    <w:rsid w:val="007B1CBB"/>
    <w:rsid w:val="007B3720"/>
    <w:rsid w:val="007C0264"/>
    <w:rsid w:val="007C48EC"/>
    <w:rsid w:val="007C5B9A"/>
    <w:rsid w:val="007C61DE"/>
    <w:rsid w:val="007D1906"/>
    <w:rsid w:val="007D2C59"/>
    <w:rsid w:val="007D686E"/>
    <w:rsid w:val="007D6B2D"/>
    <w:rsid w:val="007D7603"/>
    <w:rsid w:val="007F430C"/>
    <w:rsid w:val="00801A52"/>
    <w:rsid w:val="00814E77"/>
    <w:rsid w:val="00816E14"/>
    <w:rsid w:val="00817DC8"/>
    <w:rsid w:val="008217BD"/>
    <w:rsid w:val="00834D69"/>
    <w:rsid w:val="00841C1D"/>
    <w:rsid w:val="00856B01"/>
    <w:rsid w:val="0086179C"/>
    <w:rsid w:val="00864B4E"/>
    <w:rsid w:val="00865576"/>
    <w:rsid w:val="00870C92"/>
    <w:rsid w:val="00875014"/>
    <w:rsid w:val="00876340"/>
    <w:rsid w:val="008810C3"/>
    <w:rsid w:val="008879EE"/>
    <w:rsid w:val="0089347A"/>
    <w:rsid w:val="00893771"/>
    <w:rsid w:val="008A2D56"/>
    <w:rsid w:val="008B0065"/>
    <w:rsid w:val="008B4A39"/>
    <w:rsid w:val="008B60D6"/>
    <w:rsid w:val="008B6B3A"/>
    <w:rsid w:val="008B7AAA"/>
    <w:rsid w:val="008D2D09"/>
    <w:rsid w:val="008E1DD1"/>
    <w:rsid w:val="008F4141"/>
    <w:rsid w:val="008F776A"/>
    <w:rsid w:val="009007C8"/>
    <w:rsid w:val="00901519"/>
    <w:rsid w:val="00910048"/>
    <w:rsid w:val="00910E54"/>
    <w:rsid w:val="009160C2"/>
    <w:rsid w:val="00924D98"/>
    <w:rsid w:val="009348D1"/>
    <w:rsid w:val="00936111"/>
    <w:rsid w:val="009428D8"/>
    <w:rsid w:val="0094319B"/>
    <w:rsid w:val="009432A6"/>
    <w:rsid w:val="00943632"/>
    <w:rsid w:val="00951235"/>
    <w:rsid w:val="009516A4"/>
    <w:rsid w:val="00967B27"/>
    <w:rsid w:val="00970C22"/>
    <w:rsid w:val="009779C8"/>
    <w:rsid w:val="00987B84"/>
    <w:rsid w:val="009A27E8"/>
    <w:rsid w:val="009A577B"/>
    <w:rsid w:val="009B11EA"/>
    <w:rsid w:val="009B5472"/>
    <w:rsid w:val="009B7AE7"/>
    <w:rsid w:val="009C2956"/>
    <w:rsid w:val="009C47B9"/>
    <w:rsid w:val="009C5703"/>
    <w:rsid w:val="009C59A3"/>
    <w:rsid w:val="009C73A2"/>
    <w:rsid w:val="009D6E68"/>
    <w:rsid w:val="009E4C7D"/>
    <w:rsid w:val="00A00442"/>
    <w:rsid w:val="00A15492"/>
    <w:rsid w:val="00A2149D"/>
    <w:rsid w:val="00A3096B"/>
    <w:rsid w:val="00A339D6"/>
    <w:rsid w:val="00A353BE"/>
    <w:rsid w:val="00A3716C"/>
    <w:rsid w:val="00A62A6A"/>
    <w:rsid w:val="00A74EE1"/>
    <w:rsid w:val="00A80651"/>
    <w:rsid w:val="00A86DB4"/>
    <w:rsid w:val="00A93086"/>
    <w:rsid w:val="00AA1AEA"/>
    <w:rsid w:val="00AA5521"/>
    <w:rsid w:val="00AA7CF1"/>
    <w:rsid w:val="00AB0A43"/>
    <w:rsid w:val="00AB12B6"/>
    <w:rsid w:val="00AB41C6"/>
    <w:rsid w:val="00AC0099"/>
    <w:rsid w:val="00AC5037"/>
    <w:rsid w:val="00AD31B3"/>
    <w:rsid w:val="00AE2981"/>
    <w:rsid w:val="00AF3203"/>
    <w:rsid w:val="00AF373B"/>
    <w:rsid w:val="00B061E1"/>
    <w:rsid w:val="00B11830"/>
    <w:rsid w:val="00B246B1"/>
    <w:rsid w:val="00B3234F"/>
    <w:rsid w:val="00B37F37"/>
    <w:rsid w:val="00B417FA"/>
    <w:rsid w:val="00B4396A"/>
    <w:rsid w:val="00B50AE9"/>
    <w:rsid w:val="00B546B9"/>
    <w:rsid w:val="00B56A7F"/>
    <w:rsid w:val="00B875A4"/>
    <w:rsid w:val="00BA0F04"/>
    <w:rsid w:val="00BA4D42"/>
    <w:rsid w:val="00BB0E65"/>
    <w:rsid w:val="00BF5C4A"/>
    <w:rsid w:val="00BF7563"/>
    <w:rsid w:val="00C00A6F"/>
    <w:rsid w:val="00C02AEC"/>
    <w:rsid w:val="00C10C3A"/>
    <w:rsid w:val="00C1139E"/>
    <w:rsid w:val="00C22F02"/>
    <w:rsid w:val="00C2459F"/>
    <w:rsid w:val="00C46500"/>
    <w:rsid w:val="00C53134"/>
    <w:rsid w:val="00C60D63"/>
    <w:rsid w:val="00C61034"/>
    <w:rsid w:val="00C66E4E"/>
    <w:rsid w:val="00C70EDD"/>
    <w:rsid w:val="00C833E7"/>
    <w:rsid w:val="00C93D87"/>
    <w:rsid w:val="00C97D9D"/>
    <w:rsid w:val="00CA2E86"/>
    <w:rsid w:val="00CA68AD"/>
    <w:rsid w:val="00CC3DF2"/>
    <w:rsid w:val="00CC4D6C"/>
    <w:rsid w:val="00CD6CFD"/>
    <w:rsid w:val="00CE22B3"/>
    <w:rsid w:val="00CE7108"/>
    <w:rsid w:val="00D01C93"/>
    <w:rsid w:val="00D1095C"/>
    <w:rsid w:val="00D110E7"/>
    <w:rsid w:val="00D203C1"/>
    <w:rsid w:val="00D208B3"/>
    <w:rsid w:val="00D31765"/>
    <w:rsid w:val="00D37066"/>
    <w:rsid w:val="00D52861"/>
    <w:rsid w:val="00D62062"/>
    <w:rsid w:val="00D66310"/>
    <w:rsid w:val="00D66511"/>
    <w:rsid w:val="00D66BDC"/>
    <w:rsid w:val="00D6723B"/>
    <w:rsid w:val="00D769DD"/>
    <w:rsid w:val="00D80BEA"/>
    <w:rsid w:val="00D9593B"/>
    <w:rsid w:val="00DA2381"/>
    <w:rsid w:val="00DB21C6"/>
    <w:rsid w:val="00DC4023"/>
    <w:rsid w:val="00DD5A9E"/>
    <w:rsid w:val="00DE6BF7"/>
    <w:rsid w:val="00DF1152"/>
    <w:rsid w:val="00DF1CCE"/>
    <w:rsid w:val="00DF5D9B"/>
    <w:rsid w:val="00E07F7B"/>
    <w:rsid w:val="00E17804"/>
    <w:rsid w:val="00E17A5F"/>
    <w:rsid w:val="00E355D4"/>
    <w:rsid w:val="00E43DB7"/>
    <w:rsid w:val="00E5375B"/>
    <w:rsid w:val="00E61A6B"/>
    <w:rsid w:val="00E62640"/>
    <w:rsid w:val="00E7315D"/>
    <w:rsid w:val="00E7613F"/>
    <w:rsid w:val="00E85B58"/>
    <w:rsid w:val="00E9415B"/>
    <w:rsid w:val="00E979CB"/>
    <w:rsid w:val="00EB0715"/>
    <w:rsid w:val="00EC3205"/>
    <w:rsid w:val="00EC5B04"/>
    <w:rsid w:val="00EC6C09"/>
    <w:rsid w:val="00ED2CC5"/>
    <w:rsid w:val="00EE111D"/>
    <w:rsid w:val="00EE458A"/>
    <w:rsid w:val="00EE5E77"/>
    <w:rsid w:val="00EE60CA"/>
    <w:rsid w:val="00EF3C32"/>
    <w:rsid w:val="00EF5CAE"/>
    <w:rsid w:val="00EF7D75"/>
    <w:rsid w:val="00F04E13"/>
    <w:rsid w:val="00F15F7D"/>
    <w:rsid w:val="00F20DA8"/>
    <w:rsid w:val="00F23BCA"/>
    <w:rsid w:val="00F25D8A"/>
    <w:rsid w:val="00F412B7"/>
    <w:rsid w:val="00F47D11"/>
    <w:rsid w:val="00F52052"/>
    <w:rsid w:val="00F525DC"/>
    <w:rsid w:val="00F56C34"/>
    <w:rsid w:val="00F64E2E"/>
    <w:rsid w:val="00F651A3"/>
    <w:rsid w:val="00F772B6"/>
    <w:rsid w:val="00F87331"/>
    <w:rsid w:val="00F90F9D"/>
    <w:rsid w:val="00F931FF"/>
    <w:rsid w:val="00F93B64"/>
    <w:rsid w:val="00F97E70"/>
    <w:rsid w:val="00FA09AD"/>
    <w:rsid w:val="00FA1445"/>
    <w:rsid w:val="00FA2495"/>
    <w:rsid w:val="00FB1287"/>
    <w:rsid w:val="00FC61B7"/>
    <w:rsid w:val="00FC680A"/>
    <w:rsid w:val="00FD6BC8"/>
    <w:rsid w:val="00FF2311"/>
    <w:rsid w:val="028265A2"/>
    <w:rsid w:val="02FA0434"/>
    <w:rsid w:val="0E832428"/>
    <w:rsid w:val="108A1444"/>
    <w:rsid w:val="10C6338F"/>
    <w:rsid w:val="12957A50"/>
    <w:rsid w:val="149D7B69"/>
    <w:rsid w:val="17223879"/>
    <w:rsid w:val="17D1391F"/>
    <w:rsid w:val="203226CE"/>
    <w:rsid w:val="23445776"/>
    <w:rsid w:val="2A457936"/>
    <w:rsid w:val="2A4E50AA"/>
    <w:rsid w:val="2A6E6558"/>
    <w:rsid w:val="2B317561"/>
    <w:rsid w:val="2B725EF6"/>
    <w:rsid w:val="30427438"/>
    <w:rsid w:val="31B66CB2"/>
    <w:rsid w:val="339B4F53"/>
    <w:rsid w:val="36926B6D"/>
    <w:rsid w:val="3B4C2A55"/>
    <w:rsid w:val="3F3C46F7"/>
    <w:rsid w:val="3FB3030C"/>
    <w:rsid w:val="3FE45A4A"/>
    <w:rsid w:val="497F4235"/>
    <w:rsid w:val="4E231F70"/>
    <w:rsid w:val="554657C6"/>
    <w:rsid w:val="596344E9"/>
    <w:rsid w:val="5BFD10A3"/>
    <w:rsid w:val="5F8660F1"/>
    <w:rsid w:val="608B7FAD"/>
    <w:rsid w:val="62EA672F"/>
    <w:rsid w:val="635D0EE0"/>
    <w:rsid w:val="67F046C1"/>
    <w:rsid w:val="68FA63BC"/>
    <w:rsid w:val="6AEF52A0"/>
    <w:rsid w:val="74754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Mangal"/>
      <w:kern w:val="2"/>
      <w:sz w:val="21"/>
      <w:szCs w:val="24"/>
      <w:lang w:val="en-US" w:eastAsia="zh-CN" w:bidi="hi-IN"/>
    </w:rPr>
  </w:style>
  <w:style w:type="paragraph" w:styleId="2">
    <w:name w:val="heading 1"/>
    <w:basedOn w:val="1"/>
    <w:next w:val="1"/>
    <w:qFormat/>
    <w:uiPriority w:val="0"/>
    <w:pPr>
      <w:keepNext/>
      <w:keepLines/>
      <w:spacing w:beforeLines="0" w:beforeAutospacing="0" w:afterLines="0" w:afterAutospacing="0" w:line="720" w:lineRule="exact"/>
      <w:ind w:firstLine="0" w:firstLineChars="0"/>
      <w:jc w:val="center"/>
      <w:outlineLvl w:val="0"/>
    </w:pPr>
    <w:rPr>
      <w:rFonts w:ascii="方正小标宋简体" w:hAnsi="方正小标宋简体" w:eastAsia="方正小标宋简体" w:cs="Times New Roman"/>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0"/>
    <w:pPr>
      <w:jc w:val="left"/>
    </w:pPr>
  </w:style>
  <w:style w:type="paragraph" w:styleId="4">
    <w:name w:val="Balloon Text"/>
    <w:basedOn w:val="1"/>
    <w:link w:val="11"/>
    <w:qFormat/>
    <w:uiPriority w:val="0"/>
    <w:rPr>
      <w:sz w:val="18"/>
      <w:szCs w:val="16"/>
    </w:rPr>
  </w:style>
  <w:style w:type="paragraph" w:styleId="5">
    <w:name w:val="footer"/>
    <w:basedOn w:val="1"/>
    <w:link w:val="12"/>
    <w:qFormat/>
    <w:uiPriority w:val="0"/>
    <w:pPr>
      <w:tabs>
        <w:tab w:val="center" w:pos="4153"/>
        <w:tab w:val="right" w:pos="8306"/>
      </w:tabs>
      <w:snapToGrid w:val="0"/>
      <w:jc w:val="left"/>
    </w:pPr>
    <w:rPr>
      <w:rFonts w:cs="Times New Roman"/>
      <w:sz w:val="18"/>
      <w:szCs w:val="18"/>
      <w:lang w:bidi="ar-SA"/>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6"/>
    </w:rPr>
  </w:style>
  <w:style w:type="character" w:styleId="9">
    <w:name w:val="Hyperlink"/>
    <w:qFormat/>
    <w:uiPriority w:val="0"/>
    <w:rPr>
      <w:color w:val="0000FF"/>
      <w:u w:val="single"/>
    </w:rPr>
  </w:style>
  <w:style w:type="character" w:customStyle="1" w:styleId="10">
    <w:name w:val="页眉 Char"/>
    <w:link w:val="6"/>
    <w:qFormat/>
    <w:uiPriority w:val="0"/>
    <w:rPr>
      <w:rFonts w:cs="Mangal"/>
      <w:kern w:val="2"/>
      <w:sz w:val="18"/>
      <w:szCs w:val="16"/>
      <w:lang w:bidi="hi-IN"/>
    </w:rPr>
  </w:style>
  <w:style w:type="character" w:customStyle="1" w:styleId="11">
    <w:name w:val="批注框文本 Char"/>
    <w:link w:val="4"/>
    <w:qFormat/>
    <w:uiPriority w:val="0"/>
    <w:rPr>
      <w:rFonts w:cs="Mangal"/>
      <w:kern w:val="2"/>
      <w:sz w:val="18"/>
      <w:szCs w:val="16"/>
      <w:lang w:bidi="hi-IN"/>
    </w:rPr>
  </w:style>
  <w:style w:type="character" w:customStyle="1" w:styleId="12">
    <w:name w:val="页脚 Char"/>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1D4932-A48D-45CB-A088-79060D4C983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3466</Words>
  <Characters>3751</Characters>
  <Lines>29</Lines>
  <Paragraphs>8</Paragraphs>
  <TotalTime>6</TotalTime>
  <ScaleCrop>false</ScaleCrop>
  <LinksUpToDate>false</LinksUpToDate>
  <CharactersWithSpaces>3785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2018-11-05T02:40:00Z</dcterms:created>
  <dc:creator>20066583</dc:creator>
  <cp:lastModifiedBy>Administrator</cp:lastModifiedBy>
  <cp:lastPrinted>2022-11-01T07:15:00Z</cp:lastPrinted>
  <dcterms:modified xsi:type="dcterms:W3CDTF">2022-11-02T08:43:44Z</dcterms:modified>
  <dc:title>正文</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E6CB12C58BA0441EAE95091488C500A0</vt:lpwstr>
  </property>
</Properties>
</file>